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66158" w14:textId="77777777" w:rsidR="00B1059B" w:rsidRDefault="00B1059B" w:rsidP="00B105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CB14E14" w14:textId="77777777" w:rsidR="00B1059B" w:rsidRDefault="00B1059B" w:rsidP="00B105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E9491B" w14:textId="77777777" w:rsidR="00D72898" w:rsidRDefault="00D72898" w:rsidP="00B105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A66F4A" w14:textId="77777777" w:rsidR="00D72898" w:rsidRDefault="00D72898" w:rsidP="00B105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086BF5" w14:textId="77777777" w:rsidR="00D72898" w:rsidRDefault="00D72898" w:rsidP="00B105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0C6D6A" w14:textId="77777777" w:rsidR="00D72898" w:rsidRDefault="00D72898" w:rsidP="00B105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0D1853" w14:textId="77777777" w:rsidR="00B1059B" w:rsidRDefault="00B1059B" w:rsidP="00B105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6B17CB" w14:textId="77777777" w:rsidR="00B1059B" w:rsidRDefault="00B1059B" w:rsidP="00B105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Ausbildungskonzept für die Zusatzqualifikation</w:t>
      </w:r>
    </w:p>
    <w:p w14:paraId="357CB950" w14:textId="749FD64E" w:rsidR="00B1059B" w:rsidRPr="00B2707A" w:rsidRDefault="006748A7" w:rsidP="00B105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„Musische Bildung im Rahmen eines</w:t>
      </w:r>
      <w:r w:rsidR="00B1059B" w:rsidRPr="00B270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ganzheitlich-inklusiven Unterrichts</w:t>
      </w:r>
      <w:r w:rsidR="00B1059B" w:rsidRPr="00B2707A">
        <w:rPr>
          <w:rFonts w:ascii="Arial" w:hAnsi="Arial" w:cs="Arial"/>
          <w:b/>
          <w:sz w:val="24"/>
          <w:szCs w:val="24"/>
        </w:rPr>
        <w:t>“</w:t>
      </w:r>
    </w:p>
    <w:p w14:paraId="0CDE017D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EBE091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12F171" w14:textId="77777777" w:rsidR="00B1059B" w:rsidRPr="00E0510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Einleitung</w:t>
      </w:r>
    </w:p>
    <w:p w14:paraId="68C562ED" w14:textId="31FF8E49" w:rsidR="00B1059B" w:rsidRDefault="006748A7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Viele Elemente des Bereichs Musische Bildung sind ideal dazu geeignet, </w:t>
      </w:r>
      <w:r w:rsidR="00B1059B">
        <w:rPr>
          <w:rFonts w:ascii="Arial" w:hAnsi="Arial" w:cs="Arial"/>
          <w:sz w:val="24"/>
          <w:szCs w:val="24"/>
        </w:rPr>
        <w:t>bedeutsame Zielsetzungen der allgemeinen Schule und der sonderpädagogischen Förderschwerpunkte zu unt</w:t>
      </w:r>
      <w:r>
        <w:rPr>
          <w:rFonts w:ascii="Arial" w:hAnsi="Arial" w:cs="Arial"/>
          <w:sz w:val="24"/>
          <w:szCs w:val="24"/>
        </w:rPr>
        <w:t>erstützen. Der Einsatz von musischen Elementen</w:t>
      </w:r>
      <w:r w:rsidR="00B1059B">
        <w:rPr>
          <w:rFonts w:ascii="Arial" w:hAnsi="Arial" w:cs="Arial"/>
          <w:sz w:val="24"/>
          <w:szCs w:val="24"/>
        </w:rPr>
        <w:t xml:space="preserve"> bereichert alle Fächer und darüber hinaus das Schulleben insgesamt und hat positive Wirkungen im kognitiven und emotional-sozialen Bereich. Die Möglichkeiten sind </w:t>
      </w:r>
      <w:r>
        <w:rPr>
          <w:rFonts w:ascii="Arial" w:hAnsi="Arial" w:cs="Arial"/>
          <w:sz w:val="24"/>
          <w:szCs w:val="24"/>
        </w:rPr>
        <w:t xml:space="preserve">hier fast </w:t>
      </w:r>
      <w:r w:rsidR="00B1059B">
        <w:rPr>
          <w:rFonts w:ascii="Arial" w:hAnsi="Arial" w:cs="Arial"/>
          <w:sz w:val="24"/>
          <w:szCs w:val="24"/>
        </w:rPr>
        <w:t>unerschöpflich, beispielhaft genannt seien der Ganztag, der Pausen- und Freizeitbereich und Arbeitsgemeinschaften.</w:t>
      </w:r>
    </w:p>
    <w:p w14:paraId="777106FF" w14:textId="08273BA6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Lehrkräfte mit </w:t>
      </w:r>
      <w:r w:rsidR="00341FAF">
        <w:rPr>
          <w:rFonts w:ascii="Arial" w:hAnsi="Arial" w:cs="Arial"/>
          <w:sz w:val="24"/>
          <w:szCs w:val="24"/>
        </w:rPr>
        <w:t>Expertise</w:t>
      </w:r>
      <w:r>
        <w:rPr>
          <w:rFonts w:ascii="Arial" w:hAnsi="Arial" w:cs="Arial"/>
          <w:sz w:val="24"/>
          <w:szCs w:val="24"/>
        </w:rPr>
        <w:t xml:space="preserve"> </w:t>
      </w:r>
      <w:r w:rsidR="00CA1EBF">
        <w:rPr>
          <w:rFonts w:ascii="Arial" w:hAnsi="Arial" w:cs="Arial"/>
          <w:sz w:val="24"/>
          <w:szCs w:val="24"/>
        </w:rPr>
        <w:t xml:space="preserve">im Bereich musischer Bildung </w:t>
      </w:r>
      <w:r>
        <w:rPr>
          <w:rFonts w:ascii="Arial" w:hAnsi="Arial" w:cs="Arial"/>
          <w:sz w:val="24"/>
          <w:szCs w:val="24"/>
        </w:rPr>
        <w:t>werden an allen Schulformen immer mehr zur gesuchten Ausnahmeerscheinung. Insbesondere in der Sonderpädagogik und im Bereich Grund- Haupt- und Realschule gibt es nur noch wenige Lehrkräfte im Vorber</w:t>
      </w:r>
      <w:r w:rsidR="00CA1EBF">
        <w:rPr>
          <w:rFonts w:ascii="Arial" w:hAnsi="Arial" w:cs="Arial"/>
          <w:sz w:val="24"/>
          <w:szCs w:val="24"/>
        </w:rPr>
        <w:t>eitungsdienst mit entsprechenden Vorerfahrungen</w:t>
      </w:r>
      <w:r>
        <w:rPr>
          <w:rFonts w:ascii="Arial" w:hAnsi="Arial" w:cs="Arial"/>
          <w:sz w:val="24"/>
          <w:szCs w:val="24"/>
        </w:rPr>
        <w:t>. Darüber hinaus werden in inklusiven Zusammenhängen häufig zunächst die Fächer Deutsch und Mathematik in den Blic</w:t>
      </w:r>
      <w:r w:rsidR="00341FAF">
        <w:rPr>
          <w:rFonts w:ascii="Arial" w:hAnsi="Arial" w:cs="Arial"/>
          <w:sz w:val="24"/>
          <w:szCs w:val="24"/>
        </w:rPr>
        <w:t xml:space="preserve">k genommen, ohne die Möglichkeiten einzusetzen, die die musische Bildung hier und in </w:t>
      </w:r>
      <w:r w:rsidR="00CA1EBF">
        <w:rPr>
          <w:rFonts w:ascii="Arial" w:hAnsi="Arial" w:cs="Arial"/>
          <w:sz w:val="24"/>
          <w:szCs w:val="24"/>
        </w:rPr>
        <w:t>anderen Lernbereichen</w:t>
      </w:r>
      <w:r w:rsidR="00341FAF">
        <w:rPr>
          <w:rFonts w:ascii="Arial" w:hAnsi="Arial" w:cs="Arial"/>
          <w:sz w:val="24"/>
          <w:szCs w:val="24"/>
        </w:rPr>
        <w:t xml:space="preserve"> bietet.</w:t>
      </w:r>
    </w:p>
    <w:p w14:paraId="462649DD" w14:textId="4ECF7309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Projekte des Niedersächsischen Kultusministeriums, wie die „Musikalische Grundschule“ oder „Musik, Sprache, Teilhabe“ nutzen die Möglichkeiten von </w:t>
      </w:r>
      <w:r w:rsidR="00CA1EBF">
        <w:rPr>
          <w:rFonts w:ascii="Arial" w:hAnsi="Arial" w:cs="Arial"/>
          <w:sz w:val="24"/>
          <w:szCs w:val="24"/>
        </w:rPr>
        <w:t>musischer Bildung</w:t>
      </w:r>
      <w:r>
        <w:rPr>
          <w:rFonts w:ascii="Arial" w:hAnsi="Arial" w:cs="Arial"/>
          <w:sz w:val="24"/>
          <w:szCs w:val="24"/>
        </w:rPr>
        <w:t xml:space="preserve"> erfolgreich für Zielsetzungen, die neben dem Bildungsgut „Musik“ an sich eine Vielzahl weiterer Möglichkeiten in d</w:t>
      </w:r>
      <w:r w:rsidR="00D72898">
        <w:rPr>
          <w:rFonts w:ascii="Arial" w:hAnsi="Arial" w:cs="Arial"/>
          <w:sz w:val="24"/>
          <w:szCs w:val="24"/>
        </w:rPr>
        <w:t>en Blick nehmen, die durch den Einsatz von Elementen musischer Bildung</w:t>
      </w:r>
      <w:r>
        <w:rPr>
          <w:rFonts w:ascii="Arial" w:hAnsi="Arial" w:cs="Arial"/>
          <w:sz w:val="24"/>
          <w:szCs w:val="24"/>
        </w:rPr>
        <w:t xml:space="preserve"> gefördert und unterstützt werden können.</w:t>
      </w:r>
    </w:p>
    <w:p w14:paraId="45EC8C69" w14:textId="33CC1FB6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erscheint es dringend notwendig, dafür zu sorgen, dass es in den Bildungseinrichtungen genügend Lehrkräfte </w:t>
      </w:r>
      <w:r w:rsidR="00D72898">
        <w:rPr>
          <w:rFonts w:ascii="Arial" w:hAnsi="Arial" w:cs="Arial"/>
          <w:sz w:val="24"/>
          <w:szCs w:val="24"/>
        </w:rPr>
        <w:t>mit Expertise im Bereich musischer Bildung gibt, die diese im Rahmen eines ganzheitlich-inklusiven Unterrichts einsetzen können.</w:t>
      </w:r>
    </w:p>
    <w:p w14:paraId="1ED36BEB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DFCCB2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Zielsetzung</w:t>
      </w:r>
    </w:p>
    <w:p w14:paraId="37BC9697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Ausbildung vermittelt Lehrkräften im Vorbereitungsdienst</w:t>
      </w:r>
    </w:p>
    <w:p w14:paraId="58E9F519" w14:textId="77777777" w:rsidR="00B1059B" w:rsidRPr="00882B51" w:rsidRDefault="00B1059B" w:rsidP="00B1059B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2B51">
        <w:rPr>
          <w:rFonts w:ascii="Arial" w:hAnsi="Arial" w:cs="Arial"/>
          <w:sz w:val="24"/>
          <w:szCs w:val="24"/>
        </w:rPr>
        <w:t>die Möglichkeit, praktische Beispiele für Lerngruppen vieler verschiedener Schulformen und Altersstufen im Tun kennenzulernen und mit Lernenden zu erproben,</w:t>
      </w:r>
    </w:p>
    <w:p w14:paraId="226C9C8C" w14:textId="2580EF7B" w:rsidR="00B1059B" w:rsidRPr="00882B51" w:rsidRDefault="00D72898" w:rsidP="00B1059B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Kompetenz, Elemente musischer Bildung</w:t>
      </w:r>
      <w:r w:rsidR="00B1059B" w:rsidRPr="00882B51">
        <w:rPr>
          <w:rFonts w:ascii="Arial" w:hAnsi="Arial" w:cs="Arial"/>
          <w:sz w:val="24"/>
          <w:szCs w:val="24"/>
        </w:rPr>
        <w:t xml:space="preserve"> zu vermitteln, insbesondere </w:t>
      </w:r>
      <w:r w:rsidR="00A86088">
        <w:rPr>
          <w:rFonts w:ascii="Arial" w:hAnsi="Arial" w:cs="Arial"/>
          <w:sz w:val="24"/>
          <w:szCs w:val="24"/>
        </w:rPr>
        <w:t>aber auch im Rahmen aller Schulfächer</w:t>
      </w:r>
      <w:r w:rsidR="00B1059B" w:rsidRPr="00882B51">
        <w:rPr>
          <w:rFonts w:ascii="Arial" w:hAnsi="Arial" w:cs="Arial"/>
          <w:sz w:val="24"/>
          <w:szCs w:val="24"/>
        </w:rPr>
        <w:t xml:space="preserve"> sowie in vielen anderen pädagogischen Zusammenhängen einzusetzen,</w:t>
      </w:r>
    </w:p>
    <w:p w14:paraId="3BBE5FE1" w14:textId="359C3ED2" w:rsidR="00B1059B" w:rsidRPr="00882B51" w:rsidRDefault="00B1059B" w:rsidP="00B1059B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2B51">
        <w:rPr>
          <w:rFonts w:ascii="Arial" w:hAnsi="Arial" w:cs="Arial"/>
          <w:sz w:val="24"/>
          <w:szCs w:val="24"/>
        </w:rPr>
        <w:t>Kennt</w:t>
      </w:r>
      <w:r w:rsidR="00A86088">
        <w:rPr>
          <w:rFonts w:ascii="Arial" w:hAnsi="Arial" w:cs="Arial"/>
          <w:sz w:val="24"/>
          <w:szCs w:val="24"/>
        </w:rPr>
        <w:t>nisse hinsichtlich der Wirkung</w:t>
      </w:r>
      <w:r w:rsidRPr="00882B51">
        <w:rPr>
          <w:rFonts w:ascii="Arial" w:hAnsi="Arial" w:cs="Arial"/>
          <w:sz w:val="24"/>
          <w:szCs w:val="24"/>
        </w:rPr>
        <w:t xml:space="preserve"> von </w:t>
      </w:r>
      <w:r w:rsidR="00A86088">
        <w:rPr>
          <w:rFonts w:ascii="Arial" w:hAnsi="Arial" w:cs="Arial"/>
          <w:sz w:val="24"/>
          <w:szCs w:val="24"/>
        </w:rPr>
        <w:t>Elementen musischer Bildung, insbesondere im Hinblick auf Wahrnehmung und G</w:t>
      </w:r>
      <w:r w:rsidRPr="00882B51">
        <w:rPr>
          <w:rFonts w:ascii="Arial" w:hAnsi="Arial" w:cs="Arial"/>
          <w:sz w:val="24"/>
          <w:szCs w:val="24"/>
        </w:rPr>
        <w:t>estaltung,</w:t>
      </w:r>
    </w:p>
    <w:p w14:paraId="11711D59" w14:textId="24A888D4" w:rsidR="00B1059B" w:rsidRPr="00882B51" w:rsidRDefault="00B1059B" w:rsidP="00B1059B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2B51">
        <w:rPr>
          <w:rFonts w:ascii="Arial" w:hAnsi="Arial" w:cs="Arial"/>
          <w:sz w:val="24"/>
          <w:szCs w:val="24"/>
        </w:rPr>
        <w:t xml:space="preserve">grundlegende Kenntnisse </w:t>
      </w:r>
      <w:r w:rsidR="00A86088">
        <w:rPr>
          <w:rFonts w:ascii="Arial" w:hAnsi="Arial" w:cs="Arial"/>
          <w:sz w:val="24"/>
          <w:szCs w:val="24"/>
        </w:rPr>
        <w:t>zum Erkennen und Nutzen musischer Elemente in verschiedenen Kerncurricula</w:t>
      </w:r>
    </w:p>
    <w:p w14:paraId="3B7F944F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695E49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74C1C">
        <w:rPr>
          <w:rFonts w:ascii="Arial" w:hAnsi="Arial" w:cs="Arial"/>
          <w:b/>
          <w:sz w:val="24"/>
          <w:szCs w:val="24"/>
        </w:rPr>
        <w:t>Rechtliche Rahmenbedingun</w:t>
      </w:r>
      <w:r>
        <w:rPr>
          <w:rFonts w:ascii="Arial" w:hAnsi="Arial" w:cs="Arial"/>
          <w:b/>
          <w:sz w:val="24"/>
          <w:szCs w:val="24"/>
        </w:rPr>
        <w:t>g</w:t>
      </w:r>
      <w:r w:rsidRPr="00374C1C">
        <w:rPr>
          <w:rFonts w:ascii="Arial" w:hAnsi="Arial" w:cs="Arial"/>
          <w:b/>
          <w:sz w:val="24"/>
          <w:szCs w:val="24"/>
        </w:rPr>
        <w:t>en</w:t>
      </w:r>
    </w:p>
    <w:p w14:paraId="6D52EA36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Gemäß der Durchführungsbestimmungen zur Verordnung über die Ausbildung und Prüfung von Lehrkräften im Vorbereitungsdienst (APVO-Lehr) in der Fassung vom 2. März 2017 zu § 6, Abs. 4, „können den Lehrkräften im Vorbereitungsdienst zusätzliche Qualifikationen vermittelt werden zu Themenbereichen, die für die Schul- und Unterrichtspraxis bedeutsam sind. Zusätzliche Qualifikationen können sowohl lehramtsübergreifend als auch lehramtsbezogen konzipiert und durchgeführt werden.“</w:t>
      </w:r>
      <w:r>
        <w:rPr>
          <w:rStyle w:val="Funotenzeichen"/>
          <w:rFonts w:ascii="Arial" w:hAnsi="Arial" w:cs="Arial"/>
          <w:sz w:val="24"/>
          <w:szCs w:val="24"/>
        </w:rPr>
        <w:footnoteReference w:id="1"/>
      </w:r>
    </w:p>
    <w:p w14:paraId="20F015B3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Bescheinigung über Inhalt und Umfang der zusätzlichen Qualifikation wird ausgestellt, wenn folgende Mindestanforderungen erfüllt werden:</w:t>
      </w:r>
    </w:p>
    <w:p w14:paraId="357D4613" w14:textId="77777777" w:rsidR="00B1059B" w:rsidRPr="00882B51" w:rsidRDefault="00B1059B" w:rsidP="00B1059B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2B51">
        <w:rPr>
          <w:rFonts w:ascii="Arial" w:hAnsi="Arial" w:cs="Arial"/>
          <w:sz w:val="24"/>
          <w:szCs w:val="24"/>
        </w:rPr>
        <w:t>ein aktenkundig gemachtes Ausbildungskonzept über die Zusatzqualifikation, das den Bezug zum Seminarprogramm des Studienseminars verdeutlicht</w:t>
      </w:r>
    </w:p>
    <w:p w14:paraId="21F61CC6" w14:textId="77777777" w:rsidR="00B1059B" w:rsidRPr="00882B51" w:rsidRDefault="00B1059B" w:rsidP="00B1059B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2B51">
        <w:rPr>
          <w:rFonts w:ascii="Arial" w:hAnsi="Arial" w:cs="Arial"/>
          <w:sz w:val="24"/>
          <w:szCs w:val="24"/>
        </w:rPr>
        <w:t>mindestens 20 Stunden Seminarveranstaltungen</w:t>
      </w:r>
    </w:p>
    <w:p w14:paraId="79BA918C" w14:textId="77777777" w:rsidR="00B1059B" w:rsidRPr="00882B51" w:rsidRDefault="00B1059B" w:rsidP="00B1059B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2B51">
        <w:rPr>
          <w:rFonts w:ascii="Arial" w:hAnsi="Arial" w:cs="Arial"/>
          <w:sz w:val="24"/>
          <w:szCs w:val="24"/>
        </w:rPr>
        <w:t>soweit vom Konzept geboten, Erprobung im Ausbildungsunterricht</w:t>
      </w:r>
    </w:p>
    <w:p w14:paraId="056E9BDA" w14:textId="77777777" w:rsidR="00B1059B" w:rsidRPr="00882B51" w:rsidRDefault="00B1059B" w:rsidP="00B1059B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2B51">
        <w:rPr>
          <w:rFonts w:ascii="Arial" w:hAnsi="Arial" w:cs="Arial"/>
          <w:sz w:val="24"/>
          <w:szCs w:val="24"/>
        </w:rPr>
        <w:t>ein erfolgreiches Kolloquium von mindestens 20 Minuten Dauer</w:t>
      </w:r>
    </w:p>
    <w:p w14:paraId="7F5DB490" w14:textId="77777777" w:rsidR="00B1059B" w:rsidRPr="00624501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die Zusatzausbildung erfolgreich absolviert, so erhält die Lehrkraft im Vorbereitungsdienst mit Ausgabe des Zeugnisses auch ein Zertifikat über die erworbene Zusatzqualifikation.</w:t>
      </w:r>
    </w:p>
    <w:p w14:paraId="48E4E542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3BF304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Organisation und inhaltliche Gestaltung</w:t>
      </w:r>
    </w:p>
    <w:p w14:paraId="66E6925A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Erwerb der Zusatzqualifikation ist freiwillig und zusätzlich. Die Zulassung zur Qualifizierung erfolgt auf Antrag.</w:t>
      </w:r>
    </w:p>
    <w:p w14:paraId="368985D9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19EDAA" w14:textId="77777777" w:rsidR="00A86088" w:rsidRDefault="00A86088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BF5838" w14:textId="77777777" w:rsidR="00A86088" w:rsidRDefault="00A86088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E0B909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74C1C">
        <w:rPr>
          <w:rFonts w:ascii="Arial" w:hAnsi="Arial" w:cs="Arial"/>
          <w:b/>
          <w:sz w:val="24"/>
          <w:szCs w:val="24"/>
        </w:rPr>
        <w:t>Seminarveranstaltungen</w:t>
      </w:r>
    </w:p>
    <w:p w14:paraId="4C277AFD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Seminarveranstaltungen im Umfang von ca. 20 Stunden werden in Form von Blockveranstaltungen durchgeführt. Die Veranstaltungen beginnen, je nach Bewerberlage, ein- bis zweimal im Jahr jeweils nach den Oster- und/oder Sommerferien unter der Voraussetzung, dass eine Mindestteilnehmerzahl von drei Lehrkräften im Vorbereitungsdienst zustande kommt. Die einzelnen Termine für die Veranstaltungen werden mit den Teilnehmerinnen und Teilnehmern festgelegt.</w:t>
      </w:r>
    </w:p>
    <w:p w14:paraId="7A7B173E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37928B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Erprobung im Ausbildungsunterricht</w:t>
      </w:r>
    </w:p>
    <w:p w14:paraId="71FDC36C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Lehrkraft im Vorbereitungsdienst muss für den Erwerb der Zusatzqualifikation bis zum Ende des 17. Ausbildungsmonats</w:t>
      </w:r>
    </w:p>
    <w:p w14:paraId="2F3EF9C6" w14:textId="20F4F685" w:rsidR="00B1059B" w:rsidRPr="00882B51" w:rsidRDefault="00B1059B" w:rsidP="00B1059B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2B51">
        <w:rPr>
          <w:rFonts w:ascii="Arial" w:hAnsi="Arial" w:cs="Arial"/>
          <w:sz w:val="24"/>
          <w:szCs w:val="24"/>
        </w:rPr>
        <w:t xml:space="preserve">eine Unterrichtseinheit </w:t>
      </w:r>
      <w:r w:rsidR="00A86088">
        <w:rPr>
          <w:rFonts w:ascii="Arial" w:hAnsi="Arial" w:cs="Arial"/>
          <w:sz w:val="24"/>
          <w:szCs w:val="24"/>
        </w:rPr>
        <w:t>mit Schwerpunkt im Bereich musischer Bildung</w:t>
      </w:r>
      <w:r w:rsidRPr="00882B51">
        <w:rPr>
          <w:rFonts w:ascii="Arial" w:hAnsi="Arial" w:cs="Arial"/>
          <w:sz w:val="24"/>
          <w:szCs w:val="24"/>
        </w:rPr>
        <w:t xml:space="preserve"> im </w:t>
      </w:r>
      <w:r w:rsidR="00A86088">
        <w:rPr>
          <w:rFonts w:ascii="Arial" w:hAnsi="Arial" w:cs="Arial"/>
          <w:sz w:val="24"/>
          <w:szCs w:val="24"/>
        </w:rPr>
        <w:t>ganzheitlich-</w:t>
      </w:r>
      <w:r w:rsidRPr="00882B51">
        <w:rPr>
          <w:rFonts w:ascii="Arial" w:hAnsi="Arial" w:cs="Arial"/>
          <w:sz w:val="24"/>
          <w:szCs w:val="24"/>
        </w:rPr>
        <w:t xml:space="preserve">inklusiven </w:t>
      </w:r>
      <w:r>
        <w:rPr>
          <w:rFonts w:ascii="Arial" w:hAnsi="Arial" w:cs="Arial"/>
          <w:sz w:val="24"/>
          <w:szCs w:val="24"/>
        </w:rPr>
        <w:t>Zusammenhang</w:t>
      </w:r>
      <w:r w:rsidRPr="00882B51">
        <w:rPr>
          <w:rFonts w:ascii="Arial" w:hAnsi="Arial" w:cs="Arial"/>
          <w:sz w:val="24"/>
          <w:szCs w:val="24"/>
        </w:rPr>
        <w:t xml:space="preserve"> geplant, in der Schule durchgeführt und zu mindestens einem Unterrichtsbesuch dazu eingeladen haben,</w:t>
      </w:r>
    </w:p>
    <w:p w14:paraId="1E00FE5E" w14:textId="7E5FB7C5" w:rsidR="00B1059B" w:rsidRPr="00882B51" w:rsidRDefault="00B1059B" w:rsidP="00B1059B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2B51">
        <w:rPr>
          <w:rFonts w:ascii="Arial" w:hAnsi="Arial" w:cs="Arial"/>
          <w:sz w:val="24"/>
          <w:szCs w:val="24"/>
        </w:rPr>
        <w:t xml:space="preserve">alternativ im Rahmen einer Unterrichtseinheit im </w:t>
      </w:r>
      <w:r>
        <w:rPr>
          <w:rFonts w:ascii="Arial" w:hAnsi="Arial" w:cs="Arial"/>
          <w:sz w:val="24"/>
          <w:szCs w:val="24"/>
        </w:rPr>
        <w:t>ausgebildeten</w:t>
      </w:r>
      <w:r w:rsidRPr="00882B51">
        <w:rPr>
          <w:rFonts w:ascii="Arial" w:hAnsi="Arial" w:cs="Arial"/>
          <w:sz w:val="24"/>
          <w:szCs w:val="24"/>
        </w:rPr>
        <w:t xml:space="preserve"> Unterrichtsfach den gezielten Einsatz von </w:t>
      </w:r>
      <w:r w:rsidR="00A86088">
        <w:rPr>
          <w:rFonts w:ascii="Arial" w:hAnsi="Arial" w:cs="Arial"/>
          <w:sz w:val="24"/>
          <w:szCs w:val="24"/>
        </w:rPr>
        <w:t>Elementen musischer Bildung</w:t>
      </w:r>
      <w:r w:rsidRPr="00882B51">
        <w:rPr>
          <w:rFonts w:ascii="Arial" w:hAnsi="Arial" w:cs="Arial"/>
          <w:sz w:val="24"/>
          <w:szCs w:val="24"/>
        </w:rPr>
        <w:t xml:space="preserve"> im </w:t>
      </w:r>
      <w:r w:rsidR="00A86088">
        <w:rPr>
          <w:rFonts w:ascii="Arial" w:hAnsi="Arial" w:cs="Arial"/>
          <w:sz w:val="24"/>
          <w:szCs w:val="24"/>
        </w:rPr>
        <w:t>ganzheitlich-</w:t>
      </w:r>
      <w:r w:rsidRPr="00882B51">
        <w:rPr>
          <w:rFonts w:ascii="Arial" w:hAnsi="Arial" w:cs="Arial"/>
          <w:sz w:val="24"/>
          <w:szCs w:val="24"/>
        </w:rPr>
        <w:t xml:space="preserve">inklusiven </w:t>
      </w:r>
      <w:r>
        <w:rPr>
          <w:rFonts w:ascii="Arial" w:hAnsi="Arial" w:cs="Arial"/>
          <w:sz w:val="24"/>
          <w:szCs w:val="24"/>
        </w:rPr>
        <w:t>Zusammenhang</w:t>
      </w:r>
      <w:r w:rsidRPr="00882B51">
        <w:rPr>
          <w:rFonts w:ascii="Arial" w:hAnsi="Arial" w:cs="Arial"/>
          <w:sz w:val="24"/>
          <w:szCs w:val="24"/>
        </w:rPr>
        <w:t xml:space="preserve"> geplant, in der Schule durchgeführt und zu mindestens einem Unterrichtsbesuch dazu eingeladen haben,</w:t>
      </w:r>
    </w:p>
    <w:p w14:paraId="272B2308" w14:textId="77777777" w:rsidR="00B1059B" w:rsidRPr="00882B51" w:rsidRDefault="00B1059B" w:rsidP="00B1059B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2B51">
        <w:rPr>
          <w:rFonts w:ascii="Arial" w:hAnsi="Arial" w:cs="Arial"/>
          <w:sz w:val="24"/>
          <w:szCs w:val="24"/>
        </w:rPr>
        <w:t>für die jeweils gewählte Variante eine tabellarische Kurzübersicht über die Einheit mit inhaltlichen Schwerpunkten und angestrebtem Kompetenzerwerb anfertigen.</w:t>
      </w:r>
    </w:p>
    <w:p w14:paraId="3CEBBD4D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gezeigten Leistungen müssen qualitativ mindestens den Anforderungen einer ausreichenden Leistung entsprechen.</w:t>
      </w:r>
    </w:p>
    <w:p w14:paraId="3ACA132E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4EAE3D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Kolloquium</w:t>
      </w:r>
    </w:p>
    <w:p w14:paraId="34EDCC9B" w14:textId="77777777" w:rsidR="006326E6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Kolloquium findet nach der praktischen Erprobung in der Schule statt, sofern diese erfolgreich war. Elemente des Kolloquiums sind </w:t>
      </w:r>
    </w:p>
    <w:p w14:paraId="2500ED45" w14:textId="77777777" w:rsidR="006326E6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eine ca. 10-minütige Präsentation zu einem zwischen den Ausbildern und der Lehrkraft im Vorbereitungsdienst vereinbarten Aspekt aus dem Bereich „</w:t>
      </w:r>
      <w:r w:rsidR="006326E6" w:rsidRPr="006326E6">
        <w:rPr>
          <w:rFonts w:ascii="Arial" w:hAnsi="Arial" w:cs="Arial"/>
          <w:sz w:val="24"/>
          <w:szCs w:val="24"/>
        </w:rPr>
        <w:t>Musische Bildung im Rahmen eines ganzheitlich-inklusiven Unterrichts</w:t>
      </w:r>
      <w:r>
        <w:rPr>
          <w:rFonts w:ascii="Arial" w:hAnsi="Arial" w:cs="Arial"/>
          <w:sz w:val="24"/>
          <w:szCs w:val="24"/>
        </w:rPr>
        <w:t xml:space="preserve">“ sowie </w:t>
      </w:r>
    </w:p>
    <w:p w14:paraId="667F54E4" w14:textId="0E2CE911" w:rsidR="00B1059B" w:rsidRPr="00E8525A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ein anschließendes Prüfungsgespräch, welches die Präsentation als Ausgangspunkt hat und sich anschließend weiteren Themenbereichen der „</w:t>
      </w:r>
      <w:r w:rsidR="006326E6" w:rsidRPr="006326E6">
        <w:rPr>
          <w:rFonts w:ascii="Arial" w:hAnsi="Arial" w:cs="Arial"/>
          <w:sz w:val="24"/>
          <w:szCs w:val="24"/>
        </w:rPr>
        <w:t>Musische</w:t>
      </w:r>
      <w:r w:rsidR="006326E6">
        <w:rPr>
          <w:rFonts w:ascii="Arial" w:hAnsi="Arial" w:cs="Arial"/>
          <w:sz w:val="24"/>
          <w:szCs w:val="24"/>
        </w:rPr>
        <w:t>n</w:t>
      </w:r>
      <w:r w:rsidR="006326E6" w:rsidRPr="006326E6">
        <w:rPr>
          <w:rFonts w:ascii="Arial" w:hAnsi="Arial" w:cs="Arial"/>
          <w:sz w:val="24"/>
          <w:szCs w:val="24"/>
        </w:rPr>
        <w:t xml:space="preserve"> Bildung im Rahmen eines ganzheitlich-inklusiven Unterrichts</w:t>
      </w:r>
      <w:r>
        <w:rPr>
          <w:rFonts w:ascii="Arial" w:hAnsi="Arial" w:cs="Arial"/>
          <w:sz w:val="24"/>
          <w:szCs w:val="24"/>
        </w:rPr>
        <w:t>“ widmet.</w:t>
      </w:r>
    </w:p>
    <w:p w14:paraId="3DE89D0C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F0D97D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Inhaltliche Gestaltung</w:t>
      </w:r>
    </w:p>
    <w:p w14:paraId="0000FB5E" w14:textId="3842F43C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Zusatzqualifikation „</w:t>
      </w:r>
      <w:r w:rsidR="006326E6" w:rsidRPr="006326E6">
        <w:rPr>
          <w:rFonts w:ascii="Arial" w:hAnsi="Arial" w:cs="Arial"/>
          <w:sz w:val="24"/>
          <w:szCs w:val="24"/>
        </w:rPr>
        <w:t>Musische Bildung im Rahmen eines ganzheitlich-inklusiven Unterrichts</w:t>
      </w:r>
      <w:r>
        <w:rPr>
          <w:rFonts w:ascii="Arial" w:hAnsi="Arial" w:cs="Arial"/>
          <w:sz w:val="24"/>
          <w:szCs w:val="24"/>
        </w:rPr>
        <w:t>“ festigt und vertieft die in der APVO-Lehr angeführten allgemeinen Kompetenzen.</w:t>
      </w:r>
      <w:r w:rsidR="006326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 nachfolgende Tabelle gibt eine Übersicht über inhaltliche Schwerpunktthemen der Seminarveranstaltungen mit entsprechenden Bezügen zu den Kompetenzbereichen der APVO-Lehr:</w:t>
      </w:r>
    </w:p>
    <w:p w14:paraId="7BA0763D" w14:textId="77777777" w:rsidR="006326E6" w:rsidRDefault="006326E6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733"/>
      </w:tblGrid>
      <w:tr w:rsidR="00B1059B" w:rsidRPr="006326E6" w14:paraId="78268AAC" w14:textId="77777777" w:rsidTr="00321C83">
        <w:tc>
          <w:tcPr>
            <w:tcW w:w="1809" w:type="dxa"/>
          </w:tcPr>
          <w:p w14:paraId="40B7F122" w14:textId="77777777" w:rsidR="00B1059B" w:rsidRPr="006326E6" w:rsidRDefault="00B1059B" w:rsidP="00321C83">
            <w:pPr>
              <w:jc w:val="both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Schwerpunkte</w:t>
            </w:r>
          </w:p>
        </w:tc>
        <w:tc>
          <w:tcPr>
            <w:tcW w:w="5670" w:type="dxa"/>
          </w:tcPr>
          <w:p w14:paraId="6BAA70BA" w14:textId="77777777" w:rsidR="00B1059B" w:rsidRPr="006326E6" w:rsidRDefault="00B1059B" w:rsidP="00321C83">
            <w:pPr>
              <w:jc w:val="both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Themen</w:t>
            </w:r>
          </w:p>
        </w:tc>
        <w:tc>
          <w:tcPr>
            <w:tcW w:w="1733" w:type="dxa"/>
          </w:tcPr>
          <w:p w14:paraId="04B3934C" w14:textId="77777777" w:rsidR="00B1059B" w:rsidRPr="006326E6" w:rsidRDefault="00B1059B" w:rsidP="00321C83">
            <w:pPr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Kompetenzbereiche (lt. APVO-Lehr)</w:t>
            </w:r>
          </w:p>
        </w:tc>
      </w:tr>
      <w:tr w:rsidR="00B1059B" w:rsidRPr="006326E6" w14:paraId="5C5CD794" w14:textId="77777777" w:rsidTr="00321C83">
        <w:tc>
          <w:tcPr>
            <w:tcW w:w="1809" w:type="dxa"/>
          </w:tcPr>
          <w:p w14:paraId="79A2CDEF" w14:textId="77777777" w:rsidR="00B1059B" w:rsidRPr="006326E6" w:rsidRDefault="00B1059B" w:rsidP="00321C83">
            <w:pPr>
              <w:jc w:val="both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 xml:space="preserve">Theoretische Grundlagen </w:t>
            </w:r>
          </w:p>
        </w:tc>
        <w:tc>
          <w:tcPr>
            <w:tcW w:w="5670" w:type="dxa"/>
          </w:tcPr>
          <w:p w14:paraId="75C347ED" w14:textId="25E28BB8" w:rsidR="00B1059B" w:rsidRPr="006326E6" w:rsidRDefault="006326E6" w:rsidP="006326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Möglichkeiten von musischen Elementen</w:t>
            </w:r>
            <w:r w:rsidR="00B1059B" w:rsidRPr="006326E6">
              <w:rPr>
                <w:rFonts w:ascii="Arial" w:hAnsi="Arial" w:cs="Arial"/>
              </w:rPr>
              <w:t xml:space="preserve"> im inklusiven Setting</w:t>
            </w:r>
          </w:p>
          <w:p w14:paraId="5FAB43E9" w14:textId="2A5FCCA6" w:rsidR="00B1059B" w:rsidRPr="006326E6" w:rsidRDefault="00B1059B" w:rsidP="006326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 xml:space="preserve">Rahmenbedingungen und Anforderungen zum </w:t>
            </w:r>
            <w:r w:rsidR="006326E6" w:rsidRPr="006326E6">
              <w:rPr>
                <w:rFonts w:ascii="Arial" w:hAnsi="Arial" w:cs="Arial"/>
              </w:rPr>
              <w:t>Einsatz musischer Elemente</w:t>
            </w:r>
            <w:r w:rsidRPr="006326E6">
              <w:rPr>
                <w:rFonts w:ascii="Arial" w:hAnsi="Arial" w:cs="Arial"/>
              </w:rPr>
              <w:t xml:space="preserve"> in verschiedenen Schulformen</w:t>
            </w:r>
          </w:p>
          <w:p w14:paraId="48592260" w14:textId="39C2D637" w:rsidR="00B1059B" w:rsidRPr="006326E6" w:rsidRDefault="006326E6" w:rsidP="006326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Kernc</w:t>
            </w:r>
            <w:r w:rsidR="00B1059B" w:rsidRPr="006326E6">
              <w:rPr>
                <w:rFonts w:ascii="Arial" w:hAnsi="Arial" w:cs="Arial"/>
              </w:rPr>
              <w:t>urricula verschiedener Schulformen</w:t>
            </w:r>
            <w:r w:rsidRPr="006326E6">
              <w:rPr>
                <w:rFonts w:ascii="Arial" w:hAnsi="Arial" w:cs="Arial"/>
              </w:rPr>
              <w:t xml:space="preserve"> in Bezug auf musische Elemente</w:t>
            </w:r>
          </w:p>
          <w:p w14:paraId="1E88A9D3" w14:textId="70A1DAAA" w:rsidR="00B1059B" w:rsidRPr="006326E6" w:rsidRDefault="006326E6" w:rsidP="006326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Musische Elemente</w:t>
            </w:r>
            <w:r w:rsidR="00B1059B" w:rsidRPr="006326E6">
              <w:rPr>
                <w:rFonts w:ascii="Arial" w:hAnsi="Arial" w:cs="Arial"/>
              </w:rPr>
              <w:t xml:space="preserve"> in verschiedenen Förderschwerpunkten</w:t>
            </w:r>
          </w:p>
          <w:p w14:paraId="7BE7BB2C" w14:textId="3E030941" w:rsidR="00B1059B" w:rsidRPr="006326E6" w:rsidRDefault="006326E6" w:rsidP="006326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Musische Elemente</w:t>
            </w:r>
            <w:r w:rsidR="00B1059B" w:rsidRPr="006326E6">
              <w:rPr>
                <w:rFonts w:ascii="Arial" w:hAnsi="Arial" w:cs="Arial"/>
              </w:rPr>
              <w:t xml:space="preserve"> in den Unterrichtsfächern und DaZ</w:t>
            </w:r>
          </w:p>
          <w:p w14:paraId="040477AE" w14:textId="70CA0B10" w:rsidR="00B1059B" w:rsidRPr="006326E6" w:rsidRDefault="006326E6" w:rsidP="006326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Musische Bildung</w:t>
            </w:r>
            <w:r w:rsidR="00B1059B" w:rsidRPr="006326E6">
              <w:rPr>
                <w:rFonts w:ascii="Arial" w:hAnsi="Arial" w:cs="Arial"/>
              </w:rPr>
              <w:t xml:space="preserve"> im Schulleben</w:t>
            </w:r>
          </w:p>
          <w:p w14:paraId="3A7008E1" w14:textId="22B6E861" w:rsidR="00B1059B" w:rsidRPr="006326E6" w:rsidRDefault="006326E6" w:rsidP="006326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Weitere Möglichkeiten musischer Elemente</w:t>
            </w:r>
            <w:r w:rsidR="00B1059B" w:rsidRPr="006326E6">
              <w:rPr>
                <w:rFonts w:ascii="Arial" w:hAnsi="Arial" w:cs="Arial"/>
              </w:rPr>
              <w:t xml:space="preserve"> im schulischen Kontext: Ganztag, Personalentwicklung, Schulentwicklung</w:t>
            </w:r>
          </w:p>
          <w:p w14:paraId="77118231" w14:textId="03EC228C" w:rsidR="00B1059B" w:rsidRPr="006326E6" w:rsidRDefault="00B1059B" w:rsidP="006326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Wirkung</w:t>
            </w:r>
            <w:r w:rsidR="006326E6" w:rsidRPr="006326E6">
              <w:rPr>
                <w:rFonts w:ascii="Arial" w:hAnsi="Arial" w:cs="Arial"/>
              </w:rPr>
              <w:t>en des Einsatzes musischer Elemente im Unterricht</w:t>
            </w:r>
            <w:r w:rsidRPr="006326E6">
              <w:rPr>
                <w:rFonts w:ascii="Arial" w:hAnsi="Arial" w:cs="Arial"/>
              </w:rPr>
              <w:t>: Studien und Alltagstheorien</w:t>
            </w:r>
          </w:p>
        </w:tc>
        <w:tc>
          <w:tcPr>
            <w:tcW w:w="1733" w:type="dxa"/>
          </w:tcPr>
          <w:p w14:paraId="75BC8590" w14:textId="77777777" w:rsidR="00B1059B" w:rsidRPr="006326E6" w:rsidRDefault="00B1059B" w:rsidP="00321C83">
            <w:pPr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1.1.1, 1.1.2, 1.1.3, 1.1.4, 1.1.5, 1.2.2, 1.2.3, 2.1.1, 2.1.2, 2.1.3, 2.2.1, 2.2.2, 2.2.3, 4.1.2, 4.1.3, 4.2, 5.2.1, 5.2.4, 5.3</w:t>
            </w:r>
          </w:p>
        </w:tc>
      </w:tr>
      <w:tr w:rsidR="00B1059B" w:rsidRPr="006326E6" w14:paraId="74475863" w14:textId="77777777" w:rsidTr="00321C83">
        <w:tc>
          <w:tcPr>
            <w:tcW w:w="1809" w:type="dxa"/>
          </w:tcPr>
          <w:p w14:paraId="70C722C0" w14:textId="77777777" w:rsidR="00B1059B" w:rsidRPr="006326E6" w:rsidRDefault="00B1059B" w:rsidP="00321C83">
            <w:pPr>
              <w:jc w:val="both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Konzepte</w:t>
            </w:r>
          </w:p>
        </w:tc>
        <w:tc>
          <w:tcPr>
            <w:tcW w:w="5670" w:type="dxa"/>
          </w:tcPr>
          <w:p w14:paraId="228D25B9" w14:textId="77777777" w:rsidR="00B1059B" w:rsidRPr="006326E6" w:rsidRDefault="00B1059B" w:rsidP="006326E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Grundstrukturen erfolgreicher ganzheitlicher Konzepte in Niedersachsen (z.B. „Musikalische Grundschule“, „Musik, Sprache, Teilhabe“)</w:t>
            </w:r>
          </w:p>
          <w:p w14:paraId="1BECFB5B" w14:textId="77777777" w:rsidR="00B1059B" w:rsidRPr="006326E6" w:rsidRDefault="00B1059B" w:rsidP="006326E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Vergleich weiterer Konzepte aus der Unterrichtspraxis</w:t>
            </w:r>
          </w:p>
          <w:p w14:paraId="6D73A108" w14:textId="77777777" w:rsidR="00B1059B" w:rsidRPr="006326E6" w:rsidRDefault="00B1059B" w:rsidP="006326E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Entwicklung von Herangehensweisen ausgehend von der eigenen Unterrichtspraxis</w:t>
            </w:r>
          </w:p>
        </w:tc>
        <w:tc>
          <w:tcPr>
            <w:tcW w:w="1733" w:type="dxa"/>
          </w:tcPr>
          <w:p w14:paraId="07F59AFC" w14:textId="77777777" w:rsidR="00B1059B" w:rsidRPr="006326E6" w:rsidRDefault="00B1059B" w:rsidP="00321C83">
            <w:pPr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1.1.3, 1.1.4, 1.1.5, 1.1.6, 2.1.2, 2.1.3, 2.2, 2.3, 4.1.2, 4.2, 5.2</w:t>
            </w:r>
          </w:p>
        </w:tc>
      </w:tr>
      <w:tr w:rsidR="00B1059B" w:rsidRPr="006326E6" w14:paraId="07278A4B" w14:textId="77777777" w:rsidTr="00321C83">
        <w:tc>
          <w:tcPr>
            <w:tcW w:w="1809" w:type="dxa"/>
          </w:tcPr>
          <w:p w14:paraId="7016B98F" w14:textId="77777777" w:rsidR="00B1059B" w:rsidRPr="006326E6" w:rsidRDefault="00B1059B" w:rsidP="00321C83">
            <w:pPr>
              <w:jc w:val="both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Praxis</w:t>
            </w:r>
          </w:p>
        </w:tc>
        <w:tc>
          <w:tcPr>
            <w:tcW w:w="5670" w:type="dxa"/>
          </w:tcPr>
          <w:p w14:paraId="32D99CDC" w14:textId="14F5F95A" w:rsidR="00B1059B" w:rsidRPr="006326E6" w:rsidRDefault="00B1059B" w:rsidP="006326E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Planung, Durchführung, Variation und Reflexion von Unterrichtsideen, Unterrichtseinheiten und Projekten</w:t>
            </w:r>
            <w:r w:rsidR="006326E6" w:rsidRPr="006326E6">
              <w:rPr>
                <w:rFonts w:ascii="Arial" w:hAnsi="Arial" w:cs="Arial"/>
              </w:rPr>
              <w:t xml:space="preserve"> in Bezug auf musische Bildung</w:t>
            </w:r>
            <w:r w:rsidRPr="006326E6">
              <w:rPr>
                <w:rFonts w:ascii="Arial" w:hAnsi="Arial" w:cs="Arial"/>
              </w:rPr>
              <w:t>,</w:t>
            </w:r>
          </w:p>
          <w:p w14:paraId="61636BC7" w14:textId="77777777" w:rsidR="00B1059B" w:rsidRPr="006326E6" w:rsidRDefault="00B1059B" w:rsidP="006326E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743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die auch von fachfremden Lehrkräften umsetzbar sind</w:t>
            </w:r>
          </w:p>
          <w:p w14:paraId="3E2A928D" w14:textId="77777777" w:rsidR="00B1059B" w:rsidRPr="006326E6" w:rsidRDefault="00B1059B" w:rsidP="006326E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743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die den Erwerb inhaltlicher Kompetenzen in allen Unterrichtsfächern unterstützen</w:t>
            </w:r>
          </w:p>
          <w:p w14:paraId="0244FC39" w14:textId="77777777" w:rsidR="00B1059B" w:rsidRPr="006326E6" w:rsidRDefault="00B1059B" w:rsidP="006326E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743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die den Erwerb emotionaler und sozialer Kompetenzen unterstützen</w:t>
            </w:r>
          </w:p>
          <w:p w14:paraId="2B8CD7BF" w14:textId="77777777" w:rsidR="00B1059B" w:rsidRPr="006326E6" w:rsidRDefault="00B1059B" w:rsidP="006326E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743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die sprachfreie Teilhabe ermöglichen</w:t>
            </w:r>
          </w:p>
          <w:p w14:paraId="553D8757" w14:textId="77777777" w:rsidR="00B1059B" w:rsidRPr="006326E6" w:rsidRDefault="00B1059B" w:rsidP="006326E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743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die das kooperative und selbstgesteuerte Lernen unterstützen</w:t>
            </w:r>
          </w:p>
          <w:p w14:paraId="347DF3FD" w14:textId="77777777" w:rsidR="00B1059B" w:rsidRPr="006326E6" w:rsidRDefault="00B1059B" w:rsidP="006326E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743"/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die Schulentwicklung fördern</w:t>
            </w:r>
          </w:p>
        </w:tc>
        <w:tc>
          <w:tcPr>
            <w:tcW w:w="1733" w:type="dxa"/>
          </w:tcPr>
          <w:p w14:paraId="5F061384" w14:textId="77777777" w:rsidR="00B1059B" w:rsidRPr="006326E6" w:rsidRDefault="00B1059B" w:rsidP="00321C83">
            <w:pPr>
              <w:rPr>
                <w:rFonts w:ascii="Arial" w:hAnsi="Arial" w:cs="Arial"/>
              </w:rPr>
            </w:pPr>
            <w:r w:rsidRPr="006326E6">
              <w:rPr>
                <w:rFonts w:ascii="Arial" w:hAnsi="Arial" w:cs="Arial"/>
              </w:rPr>
              <w:t>1.1, 1.2, 1.3, 2.1.2, 2.1.3, 2.2, 2.4.1, 3.2.2, 3.2.3, 3.3.1, 3.3.4, 4.1.2, 4.2, 5.3</w:t>
            </w:r>
          </w:p>
        </w:tc>
      </w:tr>
    </w:tbl>
    <w:p w14:paraId="47D21913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Quellen:</w:t>
      </w:r>
    </w:p>
    <w:p w14:paraId="6218C39E" w14:textId="77777777" w:rsidR="00B1059B" w:rsidRDefault="00B1059B" w:rsidP="00B1059B">
      <w:pPr>
        <w:spacing w:line="240" w:lineRule="auto"/>
        <w:jc w:val="both"/>
        <w:rPr>
          <w:rFonts w:ascii="Arial" w:hAnsi="Arial"/>
          <w:sz w:val="24"/>
          <w:szCs w:val="24"/>
          <w:lang w:bidi="de-DE"/>
        </w:rPr>
      </w:pPr>
      <w:r w:rsidRPr="00AA4E15">
        <w:rPr>
          <w:rFonts w:ascii="Arial" w:hAnsi="Arial"/>
          <w:sz w:val="24"/>
          <w:szCs w:val="24"/>
          <w:lang w:bidi="de-DE"/>
        </w:rPr>
        <w:t>Amrhein, F</w:t>
      </w:r>
      <w:r>
        <w:rPr>
          <w:rFonts w:ascii="Arial" w:hAnsi="Arial"/>
          <w:sz w:val="24"/>
          <w:szCs w:val="24"/>
          <w:lang w:bidi="de-DE"/>
        </w:rPr>
        <w:t>ranz</w:t>
      </w:r>
      <w:r w:rsidRPr="00AA4E15">
        <w:rPr>
          <w:rFonts w:ascii="Arial" w:hAnsi="Arial"/>
          <w:sz w:val="24"/>
          <w:szCs w:val="24"/>
          <w:lang w:bidi="de-DE"/>
        </w:rPr>
        <w:t>: Bewegungs-, Ausdrucks-, Wahrnehmungs- und Kommunikationsförderung mit Musik. In: Zeitschrift für Heilpädagogik (9) 1993, S. 570-589.</w:t>
      </w:r>
    </w:p>
    <w:p w14:paraId="6B157CCE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Bertelsmann Stiftung, Hessisches Kultusministerium (Hrsg.): Die Musikalische Grundschule. Ein neuer Weg in der Schulentwicklung. Gütersloh: Verlag Bertelsmann Stiftung 2011.</w:t>
      </w:r>
    </w:p>
    <w:p w14:paraId="3261E711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Evelein, Frits: Musik unterrichten mit kooperativen Lernmethoden. Praxisanregungen, Grundlageninfos, Materialien und Hörbeispiele. Mülheim an der Ruhr: Verlag an der Ruhr 2009.</w:t>
      </w:r>
    </w:p>
    <w:p w14:paraId="70EA574E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Evelein, Frits: Kooperative Lernmethoden im Musikunterricht. 188 Partner- und Gruppenaktivitäten für die Klassen 5-12. Esslingen: Helbling 2015.</w:t>
      </w:r>
    </w:p>
    <w:p w14:paraId="69244D42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Frenzke, Peer, Robert Hinz und Remmer Kruse: </w:t>
      </w:r>
      <w:r w:rsidRPr="00EA1349">
        <w:rPr>
          <w:rFonts w:ascii="Arial" w:hAnsi="Arial" w:cs="Arial"/>
          <w:sz w:val="24"/>
          <w:szCs w:val="24"/>
        </w:rPr>
        <w:t>Band ohne Noten (musik live)</w:t>
      </w:r>
      <w:r>
        <w:rPr>
          <w:rFonts w:ascii="Arial" w:hAnsi="Arial" w:cs="Arial"/>
          <w:sz w:val="24"/>
          <w:szCs w:val="24"/>
        </w:rPr>
        <w:t>. Mainz: Schott 2008.</w:t>
      </w:r>
    </w:p>
    <w:p w14:paraId="30B4DBFB" w14:textId="77777777" w:rsidR="00B1059B" w:rsidRPr="00AA4E15" w:rsidRDefault="00B1059B" w:rsidP="00B1059B">
      <w:pPr>
        <w:spacing w:line="240" w:lineRule="auto"/>
        <w:jc w:val="both"/>
        <w:rPr>
          <w:rFonts w:ascii="Arial" w:hAnsi="Arial"/>
          <w:sz w:val="24"/>
          <w:szCs w:val="24"/>
          <w:lang w:bidi="de-DE"/>
        </w:rPr>
      </w:pPr>
      <w:r>
        <w:rPr>
          <w:rFonts w:ascii="Arial" w:hAnsi="Arial"/>
          <w:sz w:val="24"/>
          <w:szCs w:val="24"/>
          <w:lang w:bidi="de-DE"/>
        </w:rPr>
        <w:t xml:space="preserve">Hering, Wolfgang: Aquaka della Oma. </w:t>
      </w:r>
      <w:r w:rsidRPr="00AA4E15">
        <w:rPr>
          <w:rFonts w:ascii="Arial" w:hAnsi="Arial"/>
          <w:sz w:val="24"/>
          <w:szCs w:val="24"/>
          <w:lang w:bidi="de-DE"/>
        </w:rPr>
        <w:t>88 alte und neue Klatsch- und Klanggeschichten mit Musik und vielen Spielideen</w:t>
      </w:r>
      <w:r>
        <w:rPr>
          <w:rFonts w:ascii="Arial" w:hAnsi="Arial"/>
          <w:sz w:val="24"/>
          <w:szCs w:val="24"/>
          <w:lang w:bidi="de-DE"/>
        </w:rPr>
        <w:t>. Aachen: Ökotopia Verlag 1998.</w:t>
      </w:r>
    </w:p>
    <w:p w14:paraId="25680174" w14:textId="77777777" w:rsidR="00B1059B" w:rsidRPr="008D662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Hinz, Robert und Remmer Kruse: Band ohne Lehrer.</w:t>
      </w:r>
      <w:r w:rsidRPr="00EA1349">
        <w:rPr>
          <w:rFonts w:ascii="Arial" w:hAnsi="Arial" w:cs="Arial"/>
          <w:sz w:val="24"/>
          <w:szCs w:val="24"/>
        </w:rPr>
        <w:t xml:space="preserve"> Eine Werkstatt zum selbstständigen Musikmachen im inklusiven Unterricht</w:t>
      </w:r>
      <w:r>
        <w:rPr>
          <w:rFonts w:ascii="Arial" w:hAnsi="Arial" w:cs="Arial"/>
          <w:sz w:val="24"/>
          <w:szCs w:val="24"/>
        </w:rPr>
        <w:t>. Hamburg: Persen 2013.</w:t>
      </w:r>
    </w:p>
    <w:p w14:paraId="220C8DBE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Hinz, Robert und Remmer Kruse: Band für alle. </w:t>
      </w:r>
      <w:r w:rsidRPr="00BB6B78">
        <w:rPr>
          <w:rFonts w:ascii="Arial" w:hAnsi="Arial" w:cs="Arial"/>
          <w:sz w:val="24"/>
          <w:szCs w:val="24"/>
        </w:rPr>
        <w:t>Das Praxispaket für inklusiven Musikunterricht</w:t>
      </w:r>
      <w:r>
        <w:rPr>
          <w:rFonts w:ascii="Arial" w:hAnsi="Arial" w:cs="Arial"/>
          <w:sz w:val="24"/>
          <w:szCs w:val="24"/>
        </w:rPr>
        <w:t>. Handorf: Lugert 2017.</w:t>
      </w:r>
    </w:p>
    <w:p w14:paraId="56A67A41" w14:textId="77777777" w:rsidR="00B1059B" w:rsidRDefault="00B1059B" w:rsidP="00B1059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Köllmann, Elke: </w:t>
      </w:r>
      <w:r w:rsidRPr="00A47B72">
        <w:rPr>
          <w:rFonts w:ascii="Arial" w:hAnsi="Arial" w:cs="Arial"/>
          <w:sz w:val="24"/>
          <w:szCs w:val="24"/>
        </w:rPr>
        <w:t>Gemeinsam zur Musik: Eine qualitative Studie über Jugendliche mit Lernbeeinträchtigungen als Teilnehmende an Musikgruppen in der Inklusion</w:t>
      </w:r>
      <w:r>
        <w:rPr>
          <w:rFonts w:ascii="Arial" w:hAnsi="Arial" w:cs="Arial"/>
          <w:sz w:val="24"/>
          <w:szCs w:val="24"/>
        </w:rPr>
        <w:t>. Aachen: Shaker Verlag 2017.</w:t>
      </w:r>
    </w:p>
    <w:p w14:paraId="4BACED59" w14:textId="77777777" w:rsidR="00B1059B" w:rsidRPr="007C3532" w:rsidRDefault="00B1059B" w:rsidP="00B1059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Tischler, Björn: </w:t>
      </w:r>
      <w:r>
        <w:rPr>
          <w:rFonts w:ascii="Arial" w:hAnsi="Arial" w:cs="Arial"/>
          <w:bCs/>
          <w:sz w:val="24"/>
          <w:szCs w:val="24"/>
        </w:rPr>
        <w:t xml:space="preserve">Musik spielend erleben. </w:t>
      </w:r>
      <w:r w:rsidRPr="007C3532">
        <w:rPr>
          <w:rFonts w:ascii="Arial" w:hAnsi="Arial" w:cs="Arial"/>
          <w:bCs/>
          <w:sz w:val="24"/>
          <w:szCs w:val="24"/>
        </w:rPr>
        <w:t>Grundlagen und Praxismaterialien für Schule und Therapie.</w:t>
      </w:r>
      <w:r>
        <w:rPr>
          <w:rFonts w:ascii="Arial" w:hAnsi="Arial" w:cs="Arial"/>
          <w:bCs/>
          <w:sz w:val="24"/>
          <w:szCs w:val="24"/>
        </w:rPr>
        <w:t xml:space="preserve"> Mainz: Schott 2013.</w:t>
      </w:r>
    </w:p>
    <w:p w14:paraId="441A5216" w14:textId="77777777" w:rsidR="00B1059B" w:rsidRPr="00002E71" w:rsidRDefault="00B1059B" w:rsidP="00B1059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Westhoff, Gabriele: </w:t>
      </w:r>
      <w:r>
        <w:rPr>
          <w:rFonts w:ascii="Arial" w:hAnsi="Arial" w:cs="Arial"/>
          <w:bCs/>
          <w:sz w:val="24"/>
          <w:szCs w:val="24"/>
        </w:rPr>
        <w:t xml:space="preserve">Djingalla. Tanz und Lied. Das Buch. </w:t>
      </w:r>
      <w:r w:rsidRPr="00002E71">
        <w:rPr>
          <w:rFonts w:ascii="Arial" w:hAnsi="Arial" w:cs="Arial"/>
          <w:bCs/>
          <w:sz w:val="24"/>
          <w:szCs w:val="24"/>
        </w:rPr>
        <w:t>Neue kreative Ideen zur Lied- und Tanzgestaltung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002E71">
        <w:rPr>
          <w:rFonts w:ascii="Arial" w:hAnsi="Arial" w:cs="Arial"/>
          <w:bCs/>
          <w:sz w:val="24"/>
          <w:szCs w:val="24"/>
        </w:rPr>
        <w:t>Murnau am Staffelsee</w:t>
      </w:r>
      <w:r>
        <w:rPr>
          <w:rFonts w:ascii="Arial" w:hAnsi="Arial" w:cs="Arial"/>
          <w:bCs/>
          <w:sz w:val="24"/>
          <w:szCs w:val="24"/>
        </w:rPr>
        <w:t>: Uccello 2016.</w:t>
      </w:r>
    </w:p>
    <w:p w14:paraId="40CBFF44" w14:textId="77777777" w:rsidR="0002004D" w:rsidRPr="00B1059B" w:rsidRDefault="00B1059B" w:rsidP="00B1059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Widmer, Manuela: </w:t>
      </w:r>
      <w:r w:rsidRPr="007C3532">
        <w:rPr>
          <w:rFonts w:ascii="Arial" w:hAnsi="Arial" w:cs="Arial"/>
          <w:bCs/>
          <w:sz w:val="24"/>
          <w:szCs w:val="24"/>
        </w:rPr>
        <w:t>Spring ins Spiel: Elementares Musik</w:t>
      </w:r>
      <w:r>
        <w:rPr>
          <w:rFonts w:ascii="Arial" w:hAnsi="Arial" w:cs="Arial"/>
          <w:bCs/>
          <w:sz w:val="24"/>
          <w:szCs w:val="24"/>
        </w:rPr>
        <w:t>theater mit schulischen und auß</w:t>
      </w:r>
      <w:r w:rsidRPr="007C3532">
        <w:rPr>
          <w:rFonts w:ascii="Arial" w:hAnsi="Arial" w:cs="Arial"/>
          <w:bCs/>
          <w:sz w:val="24"/>
          <w:szCs w:val="24"/>
        </w:rPr>
        <w:t>erschulischen Gruppen. Ein Handbuch</w:t>
      </w:r>
      <w:r>
        <w:rPr>
          <w:rFonts w:ascii="Arial" w:hAnsi="Arial" w:cs="Arial"/>
          <w:bCs/>
          <w:sz w:val="24"/>
          <w:szCs w:val="24"/>
        </w:rPr>
        <w:t>. Koblenz: Fidula 2004.</w:t>
      </w:r>
    </w:p>
    <w:sectPr w:rsidR="0002004D" w:rsidRPr="00B1059B" w:rsidSect="00457865">
      <w:headerReference w:type="default" r:id="rId7"/>
      <w:pgSz w:w="11906" w:h="16838"/>
      <w:pgMar w:top="2796" w:right="1417" w:bottom="1134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E2FD7" w14:textId="77777777" w:rsidR="00602DA1" w:rsidRDefault="00602DA1" w:rsidP="00457865">
      <w:pPr>
        <w:spacing w:after="0" w:line="240" w:lineRule="auto"/>
      </w:pPr>
      <w:r>
        <w:separator/>
      </w:r>
    </w:p>
  </w:endnote>
  <w:endnote w:type="continuationSeparator" w:id="0">
    <w:p w14:paraId="40998A08" w14:textId="77777777" w:rsidR="00602DA1" w:rsidRDefault="00602DA1" w:rsidP="0045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5C36C" w14:textId="77777777" w:rsidR="00602DA1" w:rsidRDefault="00602DA1" w:rsidP="00457865">
      <w:pPr>
        <w:spacing w:after="0" w:line="240" w:lineRule="auto"/>
      </w:pPr>
      <w:r>
        <w:separator/>
      </w:r>
    </w:p>
  </w:footnote>
  <w:footnote w:type="continuationSeparator" w:id="0">
    <w:p w14:paraId="33A93607" w14:textId="77777777" w:rsidR="00602DA1" w:rsidRDefault="00602DA1" w:rsidP="00457865">
      <w:pPr>
        <w:spacing w:after="0" w:line="240" w:lineRule="auto"/>
      </w:pPr>
      <w:r>
        <w:continuationSeparator/>
      </w:r>
    </w:p>
  </w:footnote>
  <w:footnote w:id="1">
    <w:p w14:paraId="7CB229FE" w14:textId="77777777" w:rsidR="00B1059B" w:rsidRPr="003A4925" w:rsidRDefault="00B1059B" w:rsidP="00B1059B">
      <w:pPr>
        <w:pStyle w:val="Funotentext"/>
        <w:rPr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Pr="003A4925">
        <w:rPr>
          <w:sz w:val="20"/>
          <w:szCs w:val="20"/>
        </w:rPr>
        <w:t>APVO-Lehr i. d. Fassung v. 02.03.2017, Durchführung der APVO-Lehr vom 26.04.2017 zu § 6, Abs. 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331C4" w14:textId="77777777" w:rsidR="00457865" w:rsidRPr="00B1059B" w:rsidRDefault="00457865" w:rsidP="00457865">
    <w:pPr>
      <w:pStyle w:val="Kopfzeile"/>
      <w:rPr>
        <w:rFonts w:eastAsia="MS PGothic" w:cs="Tahoma"/>
        <w:b/>
        <w:color w:val="FF0000"/>
        <w:sz w:val="20"/>
        <w:szCs w:val="20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821B73C" wp14:editId="107F3F75">
          <wp:simplePos x="0" y="0"/>
          <wp:positionH relativeFrom="margin">
            <wp:align>right</wp:align>
          </wp:positionH>
          <wp:positionV relativeFrom="paragraph">
            <wp:posOffset>-90805</wp:posOffset>
          </wp:positionV>
          <wp:extent cx="2011045" cy="975360"/>
          <wp:effectExtent l="0" t="0" r="8255" b="0"/>
          <wp:wrapSquare wrapText="bothSides"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MS PGothic" w:cs="Tahoma"/>
        <w:b/>
        <w:sz w:val="20"/>
        <w:szCs w:val="20"/>
        <w:lang w:eastAsia="de-DE"/>
      </w:rPr>
      <w:t>Studienseminar Osnabrück</w:t>
    </w:r>
  </w:p>
  <w:p w14:paraId="04C92464" w14:textId="77777777" w:rsidR="00457865" w:rsidRDefault="00457865" w:rsidP="00457865">
    <w:pPr>
      <w:pStyle w:val="Kopfzeile"/>
      <w:rPr>
        <w:rFonts w:eastAsia="MS PGothic" w:cs="Tahoma"/>
        <w:b/>
        <w:sz w:val="18"/>
        <w:szCs w:val="18"/>
        <w:lang w:eastAsia="de-DE"/>
      </w:rPr>
    </w:pPr>
    <w:r>
      <w:rPr>
        <w:rFonts w:eastAsia="MS PGothic" w:cs="Tahoma"/>
        <w:b/>
        <w:sz w:val="18"/>
        <w:szCs w:val="18"/>
        <w:lang w:eastAsia="de-DE"/>
      </w:rPr>
      <w:t>für das</w:t>
    </w:r>
    <w:r>
      <w:rPr>
        <w:rFonts w:eastAsia="MS PGothic" w:cs="Tahoma"/>
        <w:sz w:val="18"/>
        <w:szCs w:val="18"/>
        <w:lang w:eastAsia="de-DE"/>
      </w:rPr>
      <w:t xml:space="preserve"> </w:t>
    </w:r>
    <w:r>
      <w:rPr>
        <w:rFonts w:eastAsia="MS PGothic" w:cs="Tahoma"/>
        <w:b/>
        <w:sz w:val="18"/>
        <w:szCs w:val="18"/>
        <w:lang w:eastAsia="de-DE"/>
      </w:rPr>
      <w:t>Lehramt für Sonderpädagogik</w:t>
    </w:r>
  </w:p>
  <w:p w14:paraId="3385D14B" w14:textId="77777777" w:rsidR="00082F58" w:rsidRDefault="00082F58" w:rsidP="00457865">
    <w:pPr>
      <w:pStyle w:val="Kopfzeile"/>
      <w:rPr>
        <w:rFonts w:eastAsia="MS PGothic" w:cs="Tahoma"/>
        <w:b/>
        <w:sz w:val="18"/>
        <w:szCs w:val="18"/>
        <w:lang w:eastAsia="de-DE"/>
      </w:rPr>
    </w:pPr>
    <w:r>
      <w:rPr>
        <w:rFonts w:eastAsia="MS PGothic" w:cs="Tahoma"/>
        <w:b/>
        <w:sz w:val="18"/>
        <w:szCs w:val="18"/>
        <w:lang w:eastAsia="de-DE"/>
      </w:rPr>
      <w:t>Standorte Osnabrück und Aurich</w:t>
    </w:r>
  </w:p>
  <w:p w14:paraId="2FBAF03B" w14:textId="77777777" w:rsidR="00457865" w:rsidRDefault="00457865" w:rsidP="00457865">
    <w:pPr>
      <w:pStyle w:val="Kopfzeile"/>
      <w:rPr>
        <w:rFonts w:eastAsia="MS PGothic" w:cs="Tahoma"/>
        <w:sz w:val="16"/>
        <w:szCs w:val="16"/>
        <w:lang w:eastAsia="de-DE"/>
      </w:rPr>
    </w:pPr>
    <w:r>
      <w:rPr>
        <w:rFonts w:eastAsia="MS PGothic" w:cs="Tahoma"/>
        <w:sz w:val="16"/>
        <w:szCs w:val="16"/>
        <w:lang w:eastAsia="de-DE"/>
      </w:rPr>
      <w:t>Senator-Wagner-Weg 6, 49088 Osnabrück</w:t>
    </w:r>
  </w:p>
  <w:p w14:paraId="319ED3F0" w14:textId="77777777" w:rsidR="00B1059B" w:rsidRDefault="00B1059B" w:rsidP="00457865">
    <w:pPr>
      <w:pStyle w:val="Kopfzeile"/>
      <w:rPr>
        <w:rFonts w:eastAsia="MS PGothic" w:cs="Tahoma"/>
        <w:sz w:val="16"/>
        <w:szCs w:val="16"/>
        <w:lang w:eastAsia="de-DE"/>
      </w:rPr>
    </w:pPr>
    <w:r>
      <w:rPr>
        <w:rFonts w:eastAsia="MS PGothic" w:cs="Tahoma"/>
        <w:sz w:val="16"/>
        <w:szCs w:val="16"/>
        <w:lang w:eastAsia="de-DE"/>
      </w:rPr>
      <w:t>Osterbusch 2, 26607 Aurich</w:t>
    </w:r>
  </w:p>
  <w:p w14:paraId="3535631F" w14:textId="77777777" w:rsidR="00457865" w:rsidRDefault="00457865" w:rsidP="00457865">
    <w:pPr>
      <w:pStyle w:val="Kopfzeile"/>
      <w:rPr>
        <w:rFonts w:eastAsia="MS PGothic" w:cs="Tahoma"/>
        <w:sz w:val="16"/>
        <w:szCs w:val="16"/>
        <w:lang w:eastAsia="de-DE"/>
      </w:rPr>
    </w:pPr>
    <w:r>
      <w:rPr>
        <w:rFonts w:eastAsia="MS PGothic" w:cs="Tahoma"/>
        <w:sz w:val="16"/>
        <w:szCs w:val="16"/>
        <w:lang w:eastAsia="de-DE"/>
      </w:rPr>
      <w:t>Tel.: 0541 – 358 420</w:t>
    </w:r>
    <w:r w:rsidR="00B1059B">
      <w:rPr>
        <w:rFonts w:eastAsia="MS PGothic" w:cs="Tahoma"/>
        <w:sz w:val="16"/>
        <w:szCs w:val="16"/>
        <w:lang w:eastAsia="de-DE"/>
      </w:rPr>
      <w:t xml:space="preserve"> (OS)</w:t>
    </w:r>
  </w:p>
  <w:p w14:paraId="5C287A4C" w14:textId="77777777" w:rsidR="00457865" w:rsidRDefault="00B1059B" w:rsidP="00457865">
    <w:pPr>
      <w:pStyle w:val="Kopfzeile"/>
      <w:rPr>
        <w:rFonts w:eastAsia="MS PGothic" w:cs="Tahoma"/>
        <w:sz w:val="16"/>
        <w:szCs w:val="16"/>
        <w:lang w:eastAsia="de-DE"/>
      </w:rPr>
    </w:pPr>
    <w:r>
      <w:rPr>
        <w:rFonts w:eastAsia="MS PGothic" w:cs="Tahoma"/>
        <w:sz w:val="16"/>
        <w:szCs w:val="16"/>
        <w:lang w:eastAsia="de-DE"/>
      </w:rPr>
      <w:t>Tel.: 04941 – 9186250 (AUR)</w:t>
    </w:r>
  </w:p>
  <w:p w14:paraId="17E88DE1" w14:textId="77777777" w:rsidR="00457865" w:rsidRDefault="00457865" w:rsidP="00457865">
    <w:pPr>
      <w:pStyle w:val="Kopfzeile"/>
      <w:rPr>
        <w:rFonts w:eastAsia="MS PGothic" w:cs="Tahoma"/>
        <w:sz w:val="16"/>
        <w:szCs w:val="16"/>
        <w:lang w:eastAsia="de-DE"/>
      </w:rPr>
    </w:pPr>
    <w:r>
      <w:rPr>
        <w:rFonts w:eastAsia="MS PGothic" w:cs="Tahoma"/>
        <w:sz w:val="16"/>
        <w:szCs w:val="16"/>
        <w:lang w:eastAsia="de-DE"/>
      </w:rPr>
      <w:t>Mail: poststelle@seminar-os-so.niedersachsen.de</w:t>
    </w:r>
    <w:r w:rsidR="00B1059B">
      <w:rPr>
        <w:rFonts w:eastAsia="MS PGothic" w:cs="Tahoma"/>
        <w:sz w:val="16"/>
        <w:szCs w:val="16"/>
        <w:lang w:eastAsia="de-DE"/>
      </w:rPr>
      <w:t xml:space="preserve"> (OS)</w:t>
    </w:r>
  </w:p>
  <w:p w14:paraId="4F97A32A" w14:textId="77777777" w:rsidR="00457865" w:rsidRDefault="00B1059B">
    <w:pPr>
      <w:pStyle w:val="Kopfzeile"/>
      <w:rPr>
        <w:rFonts w:eastAsia="MS PGothic" w:cs="Tahoma"/>
        <w:sz w:val="16"/>
        <w:szCs w:val="16"/>
        <w:lang w:eastAsia="de-DE"/>
      </w:rPr>
    </w:pPr>
    <w:r>
      <w:rPr>
        <w:rFonts w:eastAsia="MS PGothic" w:cs="Tahoma"/>
        <w:sz w:val="16"/>
        <w:szCs w:val="16"/>
        <w:lang w:eastAsia="de-DE"/>
      </w:rPr>
      <w:t>Mail: beate.speckmann@seminar-os-so.niedersachsen.de (AUR)</w:t>
    </w:r>
  </w:p>
  <w:p w14:paraId="075B6577" w14:textId="77777777" w:rsidR="00B1059B" w:rsidRDefault="00B1059B">
    <w:pPr>
      <w:pStyle w:val="Kopfzeile"/>
      <w:rPr>
        <w:rFonts w:eastAsia="MS PGothic" w:cs="Tahoma"/>
        <w:sz w:val="16"/>
        <w:szCs w:val="16"/>
        <w:lang w:eastAsia="de-DE"/>
      </w:rPr>
    </w:pPr>
  </w:p>
  <w:p w14:paraId="58504C96" w14:textId="77777777" w:rsidR="00B1059B" w:rsidRPr="00B1059B" w:rsidRDefault="00B1059B">
    <w:pPr>
      <w:pStyle w:val="Kopfzeile"/>
      <w:rPr>
        <w:rFonts w:eastAsia="MS PGothic" w:cs="Tahoma"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630"/>
    <w:multiLevelType w:val="hybridMultilevel"/>
    <w:tmpl w:val="BC023478"/>
    <w:lvl w:ilvl="0" w:tplc="8E7A5F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D36E7"/>
    <w:multiLevelType w:val="hybridMultilevel"/>
    <w:tmpl w:val="0F08F98A"/>
    <w:lvl w:ilvl="0" w:tplc="8E7A5F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B4AE5"/>
    <w:multiLevelType w:val="hybridMultilevel"/>
    <w:tmpl w:val="D9063704"/>
    <w:lvl w:ilvl="0" w:tplc="8E7A5F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F02124"/>
    <w:multiLevelType w:val="hybridMultilevel"/>
    <w:tmpl w:val="DCC4FE70"/>
    <w:lvl w:ilvl="0" w:tplc="8E7A5F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969F8"/>
    <w:multiLevelType w:val="hybridMultilevel"/>
    <w:tmpl w:val="36A6D62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65"/>
    <w:rsid w:val="0002004D"/>
    <w:rsid w:val="00082F58"/>
    <w:rsid w:val="00341FAF"/>
    <w:rsid w:val="00457865"/>
    <w:rsid w:val="004B01A5"/>
    <w:rsid w:val="00602DA1"/>
    <w:rsid w:val="006326E6"/>
    <w:rsid w:val="00650638"/>
    <w:rsid w:val="006748A7"/>
    <w:rsid w:val="00A86088"/>
    <w:rsid w:val="00B1059B"/>
    <w:rsid w:val="00CA1EBF"/>
    <w:rsid w:val="00D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1DC2F"/>
  <w15:docId w15:val="{D1AFD03E-3D6F-4549-B99F-18E48ADB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7865"/>
  </w:style>
  <w:style w:type="paragraph" w:styleId="Fuzeile">
    <w:name w:val="footer"/>
    <w:basedOn w:val="Standard"/>
    <w:link w:val="FuzeileZchn"/>
    <w:uiPriority w:val="99"/>
    <w:unhideWhenUsed/>
    <w:rsid w:val="0045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7865"/>
  </w:style>
  <w:style w:type="paragraph" w:styleId="Listenabsatz">
    <w:name w:val="List Paragraph"/>
    <w:basedOn w:val="Standard"/>
    <w:uiPriority w:val="34"/>
    <w:qFormat/>
    <w:rsid w:val="00B1059B"/>
    <w:pPr>
      <w:spacing w:after="200" w:line="276" w:lineRule="auto"/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B1059B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1059B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B1059B"/>
    <w:rPr>
      <w:vertAlign w:val="superscript"/>
    </w:rPr>
  </w:style>
  <w:style w:type="table" w:styleId="Tabellenraster">
    <w:name w:val="Table Grid"/>
    <w:basedOn w:val="NormaleTabelle"/>
    <w:uiPriority w:val="59"/>
    <w:unhideWhenUsed/>
    <w:rsid w:val="00B1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8204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</dc:creator>
  <cp:keywords/>
  <dc:description/>
  <cp:lastModifiedBy>Remmer Kruse</cp:lastModifiedBy>
  <cp:revision>2</cp:revision>
  <dcterms:created xsi:type="dcterms:W3CDTF">2018-02-01T09:16:00Z</dcterms:created>
  <dcterms:modified xsi:type="dcterms:W3CDTF">2018-02-01T09:16:00Z</dcterms:modified>
</cp:coreProperties>
</file>