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2A0" w:rsidRDefault="00B172A0" w:rsidP="008B43C1">
      <w:pPr>
        <w:ind w:left="2832" w:firstLine="708"/>
      </w:pPr>
    </w:p>
    <w:p w:rsidR="008B43C1" w:rsidRDefault="00692EB4" w:rsidP="008B43C1">
      <w:pPr>
        <w:ind w:left="2832" w:firstLine="708"/>
      </w:pPr>
      <w:bookmarkStart w:id="0" w:name="_GoBack"/>
      <w:bookmarkEnd w:id="0"/>
      <w:r w:rsidRPr="00BB28F8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-40640</wp:posOffset>
            </wp:positionV>
            <wp:extent cx="1918970" cy="376555"/>
            <wp:effectExtent l="0" t="0" r="0" b="0"/>
            <wp:wrapTight wrapText="bothSides">
              <wp:wrapPolygon edited="0">
                <wp:start x="0" y="0"/>
                <wp:lineTo x="0" y="21126"/>
                <wp:lineTo x="21443" y="21126"/>
                <wp:lineTo x="21443" y="0"/>
                <wp:lineTo x="0" y="0"/>
              </wp:wrapPolygon>
            </wp:wrapTight>
            <wp:docPr id="5" name="Bild 2" descr="Beschreibung: Designermöb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Beschreibung: Designermöbel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37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3C1" w:rsidRPr="008B43C1">
        <w:t>Tischvorlage</w:t>
      </w:r>
    </w:p>
    <w:p w:rsidR="008B43C1" w:rsidRDefault="008B43C1" w:rsidP="008B43C1"/>
    <w:p w:rsidR="008B43C1" w:rsidRDefault="008B43C1" w:rsidP="008B43C1">
      <w:r>
        <w:t>Thema: Investitionsentscheidung CNC-Fräse</w:t>
      </w:r>
    </w:p>
    <w:p w:rsidR="008B43C1" w:rsidRDefault="008B43C1" w:rsidP="008B43C1">
      <w:r>
        <w:t>Verfasserin: Frau Mustermann</w:t>
      </w:r>
    </w:p>
    <w:p w:rsidR="008B43C1" w:rsidRDefault="008B43C1" w:rsidP="008B43C1">
      <w:r>
        <w:t>Datum: 15.04.2021</w:t>
      </w:r>
    </w:p>
    <w:p w:rsidR="00E71993" w:rsidRDefault="00E71993" w:rsidP="008B43C1"/>
    <w:p w:rsidR="008B43C1" w:rsidRDefault="008B43C1" w:rsidP="008B43C1">
      <w:r>
        <w:t>Ergebnisse der Investitionsrechnung</w:t>
      </w:r>
    </w:p>
    <w:tbl>
      <w:tblPr>
        <w:tblW w:w="9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240"/>
        <w:gridCol w:w="2315"/>
        <w:gridCol w:w="7"/>
      </w:tblGrid>
      <w:tr w:rsidR="008B43C1" w:rsidTr="00C07433">
        <w:tc>
          <w:tcPr>
            <w:tcW w:w="9093" w:type="dxa"/>
            <w:gridSpan w:val="4"/>
            <w:shd w:val="pct5" w:color="auto" w:fill="auto"/>
          </w:tcPr>
          <w:p w:rsidR="008B43C1" w:rsidRDefault="008B43C1" w:rsidP="00C07433">
            <w:r>
              <w:tab/>
              <w:t>Statische Investitionsrechnungen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pct5" w:color="auto" w:fill="auto"/>
          </w:tcPr>
          <w:p w:rsidR="008B43C1" w:rsidRDefault="008B43C1" w:rsidP="00C07433">
            <w:r>
              <w:t>1. Kostenvergleichsrechnung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>
            <w:r>
              <w:t>CNC-Fräse I</w:t>
            </w:r>
          </w:p>
        </w:tc>
        <w:tc>
          <w:tcPr>
            <w:tcW w:w="2315" w:type="dxa"/>
            <w:shd w:val="clear" w:color="auto" w:fill="auto"/>
          </w:tcPr>
          <w:p w:rsidR="008B43C1" w:rsidRDefault="008B43C1" w:rsidP="00C07433">
            <w:r>
              <w:t>CNC-Fräse II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clear" w:color="auto" w:fill="auto"/>
          </w:tcPr>
          <w:p w:rsidR="008B43C1" w:rsidRDefault="008B43C1" w:rsidP="00C07433">
            <w:r>
              <w:t>= Gesamtkosten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>
            <w:r>
              <w:t>269.500,00</w:t>
            </w:r>
          </w:p>
        </w:tc>
        <w:tc>
          <w:tcPr>
            <w:tcW w:w="2315" w:type="dxa"/>
            <w:shd w:val="clear" w:color="auto" w:fill="auto"/>
          </w:tcPr>
          <w:p w:rsidR="008B43C1" w:rsidRDefault="008B43C1" w:rsidP="00C07433">
            <w:r>
              <w:t>261.000,00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clear" w:color="auto" w:fill="auto"/>
          </w:tcPr>
          <w:p w:rsidR="008B43C1" w:rsidRDefault="008B43C1" w:rsidP="00C07433">
            <w:r>
              <w:t>Kostendifferenz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>
            <w:r>
              <w:t>-8.500,00</w:t>
            </w:r>
          </w:p>
        </w:tc>
        <w:tc>
          <w:tcPr>
            <w:tcW w:w="2315" w:type="dxa"/>
            <w:shd w:val="clear" w:color="auto" w:fill="auto"/>
          </w:tcPr>
          <w:p w:rsidR="008B43C1" w:rsidRDefault="008B43C1" w:rsidP="00C07433"/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tcBorders>
              <w:bottom w:val="single" w:sz="4" w:space="0" w:color="auto"/>
            </w:tcBorders>
            <w:shd w:val="pct5" w:color="auto" w:fill="auto"/>
          </w:tcPr>
          <w:p w:rsidR="008B43C1" w:rsidRDefault="008B43C1" w:rsidP="00C07433">
            <w:r>
              <w:t>2. Kritische Auslastung Kostenvergleich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/>
        </w:tc>
        <w:tc>
          <w:tcPr>
            <w:tcW w:w="2315" w:type="dxa"/>
            <w:shd w:val="clear" w:color="auto" w:fill="auto"/>
          </w:tcPr>
          <w:p w:rsidR="008B43C1" w:rsidRDefault="008B43C1" w:rsidP="00C07433"/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:rsidR="008B43C1" w:rsidRDefault="008B43C1" w:rsidP="00C07433">
            <w:r>
              <w:t>Kf1 + kv1 * x = Kf2 + kv2*x</w:t>
            </w:r>
          </w:p>
        </w:tc>
        <w:tc>
          <w:tcPr>
            <w:tcW w:w="4555" w:type="dxa"/>
            <w:gridSpan w:val="2"/>
            <w:shd w:val="clear" w:color="auto" w:fill="auto"/>
          </w:tcPr>
          <w:p w:rsidR="008B43C1" w:rsidRDefault="008B43C1" w:rsidP="00C07433">
            <w:r>
              <w:t>67.000,00 + 4,5 x = 76.500,00 + 4,1 x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:rsidR="008B43C1" w:rsidRDefault="008B43C1" w:rsidP="00C07433"/>
        </w:tc>
        <w:tc>
          <w:tcPr>
            <w:tcW w:w="4555" w:type="dxa"/>
            <w:gridSpan w:val="2"/>
            <w:shd w:val="clear" w:color="auto" w:fill="auto"/>
          </w:tcPr>
          <w:p w:rsidR="008B43C1" w:rsidRDefault="008B43C1" w:rsidP="00C07433">
            <w:r>
              <w:t>x = 23.750 Stück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pct5" w:color="auto" w:fill="auto"/>
          </w:tcPr>
          <w:p w:rsidR="008B43C1" w:rsidRPr="00692EB4" w:rsidRDefault="008B43C1" w:rsidP="00C07433">
            <w:r>
              <w:t xml:space="preserve">3. </w:t>
            </w:r>
            <w:r w:rsidRPr="00692EB4">
              <w:t>Gewinnvergleichsrechnung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/>
        </w:tc>
        <w:tc>
          <w:tcPr>
            <w:tcW w:w="2315" w:type="dxa"/>
            <w:shd w:val="clear" w:color="auto" w:fill="auto"/>
          </w:tcPr>
          <w:p w:rsidR="008B43C1" w:rsidRDefault="008B43C1" w:rsidP="00C07433"/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clear" w:color="auto" w:fill="auto"/>
          </w:tcPr>
          <w:p w:rsidR="008B43C1" w:rsidRDefault="008B43C1" w:rsidP="00C07433">
            <w:r>
              <w:t>= Stückgewinn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>
            <w:r>
              <w:t>90.500,00</w:t>
            </w:r>
          </w:p>
        </w:tc>
        <w:tc>
          <w:tcPr>
            <w:tcW w:w="2315" w:type="dxa"/>
            <w:shd w:val="clear" w:color="auto" w:fill="auto"/>
          </w:tcPr>
          <w:p w:rsidR="008B43C1" w:rsidRDefault="008B43C1" w:rsidP="00C07433">
            <w:r>
              <w:t>126.000,00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pct5" w:color="auto" w:fill="auto"/>
          </w:tcPr>
          <w:p w:rsidR="008B43C1" w:rsidRDefault="008B43C1" w:rsidP="00C07433">
            <w:r>
              <w:t>4. Rentabilitätsvergleichsrechnung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/>
        </w:tc>
        <w:tc>
          <w:tcPr>
            <w:tcW w:w="2315" w:type="dxa"/>
            <w:shd w:val="clear" w:color="auto" w:fill="auto"/>
          </w:tcPr>
          <w:p w:rsidR="008B43C1" w:rsidRDefault="008B43C1" w:rsidP="00C07433"/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clear" w:color="auto" w:fill="auto"/>
          </w:tcPr>
          <w:p w:rsidR="008B43C1" w:rsidRDefault="008B43C1" w:rsidP="00C07433">
            <w:r>
              <w:t>= Rentabilität in %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>
            <w:r>
              <w:t>100,50</w:t>
            </w:r>
          </w:p>
        </w:tc>
        <w:tc>
          <w:tcPr>
            <w:tcW w:w="2315" w:type="dxa"/>
            <w:shd w:val="clear" w:color="auto" w:fill="auto"/>
          </w:tcPr>
          <w:p w:rsidR="008B43C1" w:rsidRDefault="008B43C1" w:rsidP="00C07433">
            <w:r>
              <w:t>103,33</w:t>
            </w:r>
          </w:p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pct5" w:color="auto" w:fill="auto"/>
          </w:tcPr>
          <w:p w:rsidR="008B43C1" w:rsidRDefault="008B43C1" w:rsidP="00C07433">
            <w:r>
              <w:t>5. Amortisationsvergleichsrechnung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/>
        </w:tc>
        <w:tc>
          <w:tcPr>
            <w:tcW w:w="2315" w:type="dxa"/>
            <w:shd w:val="clear" w:color="auto" w:fill="auto"/>
          </w:tcPr>
          <w:p w:rsidR="008B43C1" w:rsidRDefault="008B43C1" w:rsidP="00C07433"/>
        </w:tc>
      </w:tr>
      <w:tr w:rsidR="008B43C1" w:rsidTr="00C07433">
        <w:trPr>
          <w:gridAfter w:val="1"/>
          <w:wAfter w:w="7" w:type="dxa"/>
        </w:trPr>
        <w:tc>
          <w:tcPr>
            <w:tcW w:w="4531" w:type="dxa"/>
            <w:shd w:val="clear" w:color="auto" w:fill="auto"/>
          </w:tcPr>
          <w:p w:rsidR="008B43C1" w:rsidRDefault="008B43C1" w:rsidP="00C07433">
            <w:r>
              <w:t>= Amortisation in Jahren</w:t>
            </w:r>
          </w:p>
        </w:tc>
        <w:tc>
          <w:tcPr>
            <w:tcW w:w="2240" w:type="dxa"/>
            <w:shd w:val="clear" w:color="auto" w:fill="auto"/>
          </w:tcPr>
          <w:p w:rsidR="008B43C1" w:rsidRDefault="008B43C1" w:rsidP="00C07433">
            <w:r>
              <w:t>1,31</w:t>
            </w:r>
          </w:p>
        </w:tc>
        <w:tc>
          <w:tcPr>
            <w:tcW w:w="2315" w:type="dxa"/>
            <w:shd w:val="clear" w:color="auto" w:fill="auto"/>
          </w:tcPr>
          <w:p w:rsidR="008B43C1" w:rsidRDefault="008B43C1" w:rsidP="00C07433">
            <w:r>
              <w:t>1,30</w:t>
            </w:r>
          </w:p>
        </w:tc>
      </w:tr>
    </w:tbl>
    <w:p w:rsidR="008B43C1" w:rsidRDefault="008B43C1" w:rsidP="008B43C1"/>
    <w:p w:rsidR="008B43C1" w:rsidRDefault="008B43C1" w:rsidP="008B43C1">
      <w:pPr>
        <w:pStyle w:val="Listenabsatz"/>
        <w:numPr>
          <w:ilvl w:val="0"/>
          <w:numId w:val="7"/>
        </w:numPr>
        <w:ind w:left="284" w:hanging="284"/>
      </w:pPr>
      <w:r>
        <w:t>Bei der Kostenvergleichsrechnung wird deutlich, dass unter der Maßgabe, dass 45.000 Stück produziert werden, die CNC-Fräse II 8.500,00 Euro weniger Kosten verursacht.</w:t>
      </w:r>
    </w:p>
    <w:p w:rsidR="008B43C1" w:rsidRDefault="008B43C1" w:rsidP="008B43C1">
      <w:pPr>
        <w:pStyle w:val="Listenabsatz"/>
        <w:numPr>
          <w:ilvl w:val="0"/>
          <w:numId w:val="7"/>
        </w:numPr>
        <w:ind w:left="284" w:hanging="284"/>
      </w:pPr>
      <w:r>
        <w:t>Ab einer Produktion von 23.750 Stück ist es günstiger mit der CNC-Fräse II zu produzieren.</w:t>
      </w:r>
    </w:p>
    <w:p w:rsidR="008B43C1" w:rsidRDefault="008B43C1" w:rsidP="008B43C1">
      <w:pPr>
        <w:pStyle w:val="Listenabsatz"/>
        <w:numPr>
          <w:ilvl w:val="0"/>
          <w:numId w:val="7"/>
        </w:numPr>
        <w:ind w:left="284" w:hanging="284"/>
      </w:pPr>
      <w:r>
        <w:t xml:space="preserve">Auch bei der Gewinnvergleichsrechnung wird deutlich, dass durch den Gewinn von 126.000,00 Euro bei der CNC-Fräse II 35.500,00 Euro mehr Gewinn erwirtschaftet wird. </w:t>
      </w:r>
    </w:p>
    <w:p w:rsidR="008B43C1" w:rsidRDefault="008B43C1" w:rsidP="008B43C1">
      <w:pPr>
        <w:pStyle w:val="Listenabsatz"/>
        <w:numPr>
          <w:ilvl w:val="0"/>
          <w:numId w:val="7"/>
        </w:numPr>
        <w:ind w:left="284" w:hanging="284"/>
      </w:pPr>
      <w:r>
        <w:t>Die Rentabilität der CNC-Fräse II ist mit 2,83 Prozentpunkte höher als die der CNC-Fräse I.</w:t>
      </w:r>
    </w:p>
    <w:p w:rsidR="008B43C1" w:rsidRDefault="008B43C1" w:rsidP="008B43C1">
      <w:pPr>
        <w:pStyle w:val="Listenabsatz"/>
        <w:numPr>
          <w:ilvl w:val="0"/>
          <w:numId w:val="7"/>
        </w:numPr>
        <w:ind w:left="284" w:hanging="284"/>
      </w:pPr>
      <w:r>
        <w:t>Auch die Amortisationszeit der CNC-Fräse ist geringfügig kürzer mit 1,30 zu 1,31.</w:t>
      </w:r>
    </w:p>
    <w:p w:rsidR="008B43C1" w:rsidRDefault="008B43C1" w:rsidP="008B43C1">
      <w:pPr>
        <w:pStyle w:val="Listenabsatz"/>
        <w:numPr>
          <w:ilvl w:val="0"/>
          <w:numId w:val="8"/>
        </w:numPr>
      </w:pPr>
      <w:r>
        <w:t>Zusammenfassend kann gesagt werden, dass es sich wirtschaftlich mehr lohnt, die CNC-Fräse II anzuschaffen.</w:t>
      </w:r>
    </w:p>
    <w:p w:rsidR="008B43C1" w:rsidRDefault="008B43C1" w:rsidP="008B43C1"/>
    <w:p w:rsidR="008B43C1" w:rsidRDefault="008B43C1" w:rsidP="008B43C1">
      <w:r>
        <w:t>Allerdings liegen uns keine Informationen zu etwaigen Energieeffizienzklassen, Garantiezeiten oder Serviceleistungen der Verkäufer der CNC-Fräsen vor.</w:t>
      </w:r>
    </w:p>
    <w:p w:rsidR="008B43C1" w:rsidRDefault="008B43C1" w:rsidP="008B43C1">
      <w:r>
        <w:lastRenderedPageBreak/>
        <w:t>Vorschlag: Zunächst sollten weitere Informationen über die beiden CNC-Fräsen eingeholt werden, bevor eine endgültige Entscheidung getroffen wird.</w:t>
      </w:r>
    </w:p>
    <w:sectPr w:rsidR="008B43C1" w:rsidSect="002D607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5B7" w:rsidRDefault="009005B7" w:rsidP="008B43C1">
      <w:r>
        <w:separator/>
      </w:r>
    </w:p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</w:endnote>
  <w:endnote w:type="continuationSeparator" w:id="0">
    <w:p w:rsidR="009005B7" w:rsidRDefault="009005B7" w:rsidP="008B43C1">
      <w:r>
        <w:continuationSeparator/>
      </w:r>
    </w:p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56999572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5A78E0" w:rsidRDefault="005A78E0" w:rsidP="008B43C1">
        <w:pPr>
          <w:pStyle w:val="Fuzeile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92EB4" w:rsidRDefault="00692EB4" w:rsidP="008B43C1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end"/>
    </w:r>
  </w:p>
  <w:p w:rsidR="00573CAF" w:rsidRDefault="00573CAF" w:rsidP="008B43C1">
    <w:pPr>
      <w:pStyle w:val="Fuzeile"/>
      <w:rPr>
        <w:rStyle w:val="Seitenzahl"/>
      </w:rPr>
    </w:pPr>
  </w:p>
  <w:p w:rsidR="00573CAF" w:rsidRDefault="00573CAF" w:rsidP="008B43C1">
    <w:pPr>
      <w:pStyle w:val="Fuzeile"/>
    </w:pPr>
  </w:p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7024312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5A78E0" w:rsidRDefault="005A78E0" w:rsidP="008B43C1">
        <w:pPr>
          <w:pStyle w:val="Fuzeile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:rsidR="00692EB4" w:rsidRDefault="00692EB4" w:rsidP="008B43C1">
    <w:pPr>
      <w:pStyle w:val="Fuzeile"/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5B7" w:rsidRDefault="009005B7" w:rsidP="008B43C1">
      <w:r>
        <w:separator/>
      </w:r>
    </w:p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</w:footnote>
  <w:footnote w:type="continuationSeparator" w:id="0">
    <w:p w:rsidR="009005B7" w:rsidRDefault="009005B7" w:rsidP="008B43C1">
      <w:r>
        <w:continuationSeparator/>
      </w:r>
    </w:p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  <w:p w:rsidR="009005B7" w:rsidRDefault="009005B7" w:rsidP="008B43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  <w:p w:rsidR="00573CAF" w:rsidRDefault="00573CAF" w:rsidP="008B43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28"/>
      <w:gridCol w:w="995"/>
      <w:gridCol w:w="5242"/>
      <w:gridCol w:w="1497"/>
    </w:tblGrid>
    <w:tr w:rsidR="00573CAF" w:rsidTr="00B862B2">
      <w:trPr>
        <w:trHeight w:val="382"/>
      </w:trPr>
      <w:tc>
        <w:tcPr>
          <w:tcW w:w="1354" w:type="dxa"/>
          <w:vMerge w:val="restart"/>
          <w:shd w:val="clear" w:color="auto" w:fill="auto"/>
        </w:tcPr>
        <w:p w:rsidR="00573CAF" w:rsidRDefault="00692EB4" w:rsidP="008B43C1">
          <w:pPr>
            <w:pStyle w:val="Kopfzeile"/>
          </w:pPr>
          <w:r>
            <w:t>BBS Logo</w:t>
          </w:r>
        </w:p>
      </w:tc>
      <w:tc>
        <w:tcPr>
          <w:tcW w:w="1006" w:type="dxa"/>
          <w:shd w:val="clear" w:color="auto" w:fill="auto"/>
          <w:vAlign w:val="center"/>
        </w:tcPr>
        <w:p w:rsidR="00573CAF" w:rsidRPr="00B862B2" w:rsidRDefault="00573CAF" w:rsidP="008B43C1">
          <w:pPr>
            <w:pStyle w:val="Kopfzeile"/>
          </w:pPr>
          <w:r w:rsidRPr="00B862B2">
            <w:t>BGW 12</w:t>
          </w:r>
        </w:p>
      </w:tc>
      <w:tc>
        <w:tcPr>
          <w:tcW w:w="5406" w:type="dxa"/>
          <w:shd w:val="clear" w:color="auto" w:fill="auto"/>
          <w:vAlign w:val="center"/>
        </w:tcPr>
        <w:p w:rsidR="00573CAF" w:rsidRPr="00B862B2" w:rsidRDefault="00573CAF" w:rsidP="008B43C1">
          <w:pPr>
            <w:pStyle w:val="Kopfzeile"/>
          </w:pPr>
          <w:r w:rsidRPr="00B862B2">
            <w:t>LG 4 – Ziele, Aufgaben und Prozesse der Investition und Finanzierung</w:t>
          </w:r>
        </w:p>
      </w:tc>
      <w:tc>
        <w:tcPr>
          <w:tcW w:w="1520" w:type="dxa"/>
          <w:shd w:val="clear" w:color="auto" w:fill="auto"/>
          <w:vAlign w:val="center"/>
        </w:tcPr>
        <w:p w:rsidR="00573CAF" w:rsidRPr="00B862B2" w:rsidRDefault="00573CAF" w:rsidP="008B43C1">
          <w:pPr>
            <w:pStyle w:val="Kopfzeile"/>
          </w:pPr>
          <w:r w:rsidRPr="00B862B2">
            <w:t>Datum:</w:t>
          </w:r>
        </w:p>
      </w:tc>
    </w:tr>
    <w:tr w:rsidR="00573CAF" w:rsidTr="00B862B2">
      <w:trPr>
        <w:trHeight w:val="383"/>
      </w:trPr>
      <w:tc>
        <w:tcPr>
          <w:tcW w:w="1354" w:type="dxa"/>
          <w:vMerge/>
          <w:shd w:val="clear" w:color="auto" w:fill="auto"/>
        </w:tcPr>
        <w:p w:rsidR="00573CAF" w:rsidRDefault="00573CAF" w:rsidP="008B43C1">
          <w:pPr>
            <w:pStyle w:val="Kopfzeile"/>
          </w:pPr>
        </w:p>
      </w:tc>
      <w:tc>
        <w:tcPr>
          <w:tcW w:w="7932" w:type="dxa"/>
          <w:gridSpan w:val="3"/>
          <w:shd w:val="clear" w:color="auto" w:fill="auto"/>
          <w:vAlign w:val="center"/>
        </w:tcPr>
        <w:p w:rsidR="00573CAF" w:rsidRPr="00B862B2" w:rsidRDefault="00573CAF" w:rsidP="008B43C1">
          <w:pPr>
            <w:pStyle w:val="Kopfzeile"/>
          </w:pPr>
          <w:r w:rsidRPr="00B862B2">
            <w:t>Statische Investition</w:t>
          </w:r>
          <w:r w:rsidR="00973F32">
            <w:t>s</w:t>
          </w:r>
          <w:r w:rsidR="00730CA9">
            <w:t>verfahren</w:t>
          </w:r>
          <w:r w:rsidR="008B43C1">
            <w:t>: Tischvorlage</w:t>
          </w:r>
        </w:p>
      </w:tc>
    </w:tr>
  </w:tbl>
  <w:p w:rsidR="00573CAF" w:rsidRDefault="00573CAF" w:rsidP="008B4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C7FB8"/>
    <w:multiLevelType w:val="hybridMultilevel"/>
    <w:tmpl w:val="ED4C2A96"/>
    <w:lvl w:ilvl="0" w:tplc="DC5681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019D1"/>
    <w:multiLevelType w:val="hybridMultilevel"/>
    <w:tmpl w:val="9E664868"/>
    <w:lvl w:ilvl="0" w:tplc="EB387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6263F"/>
    <w:multiLevelType w:val="hybridMultilevel"/>
    <w:tmpl w:val="02247E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0572B"/>
    <w:multiLevelType w:val="hybridMultilevel"/>
    <w:tmpl w:val="CF2075B8"/>
    <w:lvl w:ilvl="0" w:tplc="6B84097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60FDD"/>
    <w:multiLevelType w:val="hybridMultilevel"/>
    <w:tmpl w:val="6952F5AC"/>
    <w:lvl w:ilvl="0" w:tplc="56EACC4E">
      <w:start w:val="10"/>
      <w:numFmt w:val="bullet"/>
      <w:lvlText w:val="-"/>
      <w:lvlJc w:val="left"/>
      <w:pPr>
        <w:ind w:left="39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5" w15:restartNumberingAfterBreak="0">
    <w:nsid w:val="73BF40CE"/>
    <w:multiLevelType w:val="hybridMultilevel"/>
    <w:tmpl w:val="A5D2DA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E758B"/>
    <w:multiLevelType w:val="hybridMultilevel"/>
    <w:tmpl w:val="EB8017E2"/>
    <w:lvl w:ilvl="0" w:tplc="05EC98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22CF9"/>
    <w:multiLevelType w:val="hybridMultilevel"/>
    <w:tmpl w:val="89CCE9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1B"/>
    <w:rsid w:val="00000E92"/>
    <w:rsid w:val="0000103C"/>
    <w:rsid w:val="00004529"/>
    <w:rsid w:val="00005AE8"/>
    <w:rsid w:val="00007CD9"/>
    <w:rsid w:val="000100D7"/>
    <w:rsid w:val="00021604"/>
    <w:rsid w:val="00022767"/>
    <w:rsid w:val="00030F6F"/>
    <w:rsid w:val="0003147F"/>
    <w:rsid w:val="00031D8A"/>
    <w:rsid w:val="00032435"/>
    <w:rsid w:val="00032FA8"/>
    <w:rsid w:val="00033C92"/>
    <w:rsid w:val="00035001"/>
    <w:rsid w:val="00035D0B"/>
    <w:rsid w:val="00040023"/>
    <w:rsid w:val="00040BDA"/>
    <w:rsid w:val="000432FE"/>
    <w:rsid w:val="000448A7"/>
    <w:rsid w:val="00044CA6"/>
    <w:rsid w:val="00046938"/>
    <w:rsid w:val="00051007"/>
    <w:rsid w:val="00054DCC"/>
    <w:rsid w:val="00057135"/>
    <w:rsid w:val="0006340B"/>
    <w:rsid w:val="000651C2"/>
    <w:rsid w:val="00065B8B"/>
    <w:rsid w:val="0006787A"/>
    <w:rsid w:val="00070B06"/>
    <w:rsid w:val="00070F14"/>
    <w:rsid w:val="00071250"/>
    <w:rsid w:val="0007642A"/>
    <w:rsid w:val="00083F0D"/>
    <w:rsid w:val="00085568"/>
    <w:rsid w:val="00092198"/>
    <w:rsid w:val="0009261E"/>
    <w:rsid w:val="00093AC6"/>
    <w:rsid w:val="000963F6"/>
    <w:rsid w:val="00096FB0"/>
    <w:rsid w:val="00097FDB"/>
    <w:rsid w:val="000A46EF"/>
    <w:rsid w:val="000A68F1"/>
    <w:rsid w:val="000B364F"/>
    <w:rsid w:val="000B6C97"/>
    <w:rsid w:val="000C1EDD"/>
    <w:rsid w:val="000C44ED"/>
    <w:rsid w:val="000C4B28"/>
    <w:rsid w:val="000C6D1B"/>
    <w:rsid w:val="000C6DDD"/>
    <w:rsid w:val="000C73D9"/>
    <w:rsid w:val="000D150D"/>
    <w:rsid w:val="000D183E"/>
    <w:rsid w:val="000D6480"/>
    <w:rsid w:val="000E017C"/>
    <w:rsid w:val="000E02F0"/>
    <w:rsid w:val="000E0512"/>
    <w:rsid w:val="000E1B17"/>
    <w:rsid w:val="000E46E1"/>
    <w:rsid w:val="000E67AA"/>
    <w:rsid w:val="000F06AB"/>
    <w:rsid w:val="000F0A61"/>
    <w:rsid w:val="000F15C9"/>
    <w:rsid w:val="000F29BE"/>
    <w:rsid w:val="000F3E68"/>
    <w:rsid w:val="00100500"/>
    <w:rsid w:val="00100BF8"/>
    <w:rsid w:val="001047C4"/>
    <w:rsid w:val="00111368"/>
    <w:rsid w:val="0012520A"/>
    <w:rsid w:val="00125373"/>
    <w:rsid w:val="00130AF9"/>
    <w:rsid w:val="001328F8"/>
    <w:rsid w:val="00133003"/>
    <w:rsid w:val="0013404D"/>
    <w:rsid w:val="001353B3"/>
    <w:rsid w:val="00136028"/>
    <w:rsid w:val="001377FD"/>
    <w:rsid w:val="00137998"/>
    <w:rsid w:val="001379A4"/>
    <w:rsid w:val="001403E3"/>
    <w:rsid w:val="00141D41"/>
    <w:rsid w:val="00142650"/>
    <w:rsid w:val="00153DE1"/>
    <w:rsid w:val="00156D1E"/>
    <w:rsid w:val="00161064"/>
    <w:rsid w:val="00161A8D"/>
    <w:rsid w:val="0016298A"/>
    <w:rsid w:val="00162C08"/>
    <w:rsid w:val="00163107"/>
    <w:rsid w:val="00163C4D"/>
    <w:rsid w:val="00166861"/>
    <w:rsid w:val="00170664"/>
    <w:rsid w:val="00173FF6"/>
    <w:rsid w:val="00175A25"/>
    <w:rsid w:val="001761B1"/>
    <w:rsid w:val="0017764A"/>
    <w:rsid w:val="001819D3"/>
    <w:rsid w:val="001856DC"/>
    <w:rsid w:val="00187985"/>
    <w:rsid w:val="00191A93"/>
    <w:rsid w:val="00191C84"/>
    <w:rsid w:val="001A0EC0"/>
    <w:rsid w:val="001A5860"/>
    <w:rsid w:val="001A5C36"/>
    <w:rsid w:val="001A630D"/>
    <w:rsid w:val="001A7AAE"/>
    <w:rsid w:val="001B11AE"/>
    <w:rsid w:val="001B1483"/>
    <w:rsid w:val="001B7B9F"/>
    <w:rsid w:val="001C0A7D"/>
    <w:rsid w:val="001C296F"/>
    <w:rsid w:val="001C4E29"/>
    <w:rsid w:val="001D0F73"/>
    <w:rsid w:val="001D1341"/>
    <w:rsid w:val="001D2190"/>
    <w:rsid w:val="001D67FE"/>
    <w:rsid w:val="001D6FD2"/>
    <w:rsid w:val="001E5033"/>
    <w:rsid w:val="001E5267"/>
    <w:rsid w:val="001E54CA"/>
    <w:rsid w:val="001F26C1"/>
    <w:rsid w:val="001F31FC"/>
    <w:rsid w:val="001F3380"/>
    <w:rsid w:val="001F3CB9"/>
    <w:rsid w:val="001F3D0D"/>
    <w:rsid w:val="001F4714"/>
    <w:rsid w:val="001F48FC"/>
    <w:rsid w:val="001F4D85"/>
    <w:rsid w:val="002068C6"/>
    <w:rsid w:val="002074CB"/>
    <w:rsid w:val="00207C5C"/>
    <w:rsid w:val="002111BF"/>
    <w:rsid w:val="00213354"/>
    <w:rsid w:val="002136C3"/>
    <w:rsid w:val="00216740"/>
    <w:rsid w:val="00220EF9"/>
    <w:rsid w:val="00224DD1"/>
    <w:rsid w:val="002254EC"/>
    <w:rsid w:val="00227F6B"/>
    <w:rsid w:val="002323F4"/>
    <w:rsid w:val="00233DB7"/>
    <w:rsid w:val="00234720"/>
    <w:rsid w:val="00236AB3"/>
    <w:rsid w:val="00236D73"/>
    <w:rsid w:val="00236F87"/>
    <w:rsid w:val="002374C5"/>
    <w:rsid w:val="00242D0B"/>
    <w:rsid w:val="002430A4"/>
    <w:rsid w:val="0024511A"/>
    <w:rsid w:val="00246283"/>
    <w:rsid w:val="00246A63"/>
    <w:rsid w:val="00253039"/>
    <w:rsid w:val="002533B4"/>
    <w:rsid w:val="0025376C"/>
    <w:rsid w:val="00255455"/>
    <w:rsid w:val="00261966"/>
    <w:rsid w:val="002646A9"/>
    <w:rsid w:val="0026580E"/>
    <w:rsid w:val="0027051E"/>
    <w:rsid w:val="00274445"/>
    <w:rsid w:val="00280411"/>
    <w:rsid w:val="00282CB3"/>
    <w:rsid w:val="00283473"/>
    <w:rsid w:val="00283982"/>
    <w:rsid w:val="00283C34"/>
    <w:rsid w:val="00292684"/>
    <w:rsid w:val="002926FE"/>
    <w:rsid w:val="002A1D79"/>
    <w:rsid w:val="002A32E9"/>
    <w:rsid w:val="002A62FF"/>
    <w:rsid w:val="002A7C0C"/>
    <w:rsid w:val="002B15E0"/>
    <w:rsid w:val="002B20DF"/>
    <w:rsid w:val="002B2D18"/>
    <w:rsid w:val="002B38FE"/>
    <w:rsid w:val="002B3B7E"/>
    <w:rsid w:val="002C6629"/>
    <w:rsid w:val="002C6874"/>
    <w:rsid w:val="002C79A7"/>
    <w:rsid w:val="002D4349"/>
    <w:rsid w:val="002D4659"/>
    <w:rsid w:val="002D5E61"/>
    <w:rsid w:val="002D6072"/>
    <w:rsid w:val="002D7062"/>
    <w:rsid w:val="002D79D4"/>
    <w:rsid w:val="002E051D"/>
    <w:rsid w:val="002E1A65"/>
    <w:rsid w:val="002E2D08"/>
    <w:rsid w:val="002E3FDC"/>
    <w:rsid w:val="002E42FF"/>
    <w:rsid w:val="002E4E1C"/>
    <w:rsid w:val="002E5681"/>
    <w:rsid w:val="002F128C"/>
    <w:rsid w:val="002F20FE"/>
    <w:rsid w:val="002F6951"/>
    <w:rsid w:val="002F77E0"/>
    <w:rsid w:val="00301CBE"/>
    <w:rsid w:val="00303E6E"/>
    <w:rsid w:val="0030721D"/>
    <w:rsid w:val="00311BBF"/>
    <w:rsid w:val="00314C82"/>
    <w:rsid w:val="003157BA"/>
    <w:rsid w:val="00320DC4"/>
    <w:rsid w:val="003248BA"/>
    <w:rsid w:val="00326839"/>
    <w:rsid w:val="00327EFC"/>
    <w:rsid w:val="003355EB"/>
    <w:rsid w:val="00340B21"/>
    <w:rsid w:val="003422DC"/>
    <w:rsid w:val="0035012E"/>
    <w:rsid w:val="003506C4"/>
    <w:rsid w:val="003548FF"/>
    <w:rsid w:val="00355BA4"/>
    <w:rsid w:val="00356440"/>
    <w:rsid w:val="00361DD1"/>
    <w:rsid w:val="003635D1"/>
    <w:rsid w:val="00363C2F"/>
    <w:rsid w:val="00364B53"/>
    <w:rsid w:val="0036714C"/>
    <w:rsid w:val="0036762A"/>
    <w:rsid w:val="003735E4"/>
    <w:rsid w:val="00373EA7"/>
    <w:rsid w:val="003742BA"/>
    <w:rsid w:val="00374F6C"/>
    <w:rsid w:val="00384A5A"/>
    <w:rsid w:val="00385702"/>
    <w:rsid w:val="00385C63"/>
    <w:rsid w:val="003914BC"/>
    <w:rsid w:val="003927E1"/>
    <w:rsid w:val="00392D13"/>
    <w:rsid w:val="00397212"/>
    <w:rsid w:val="003975C7"/>
    <w:rsid w:val="003A67A2"/>
    <w:rsid w:val="003A7781"/>
    <w:rsid w:val="003B0613"/>
    <w:rsid w:val="003B0F35"/>
    <w:rsid w:val="003B1B41"/>
    <w:rsid w:val="003B25BD"/>
    <w:rsid w:val="003B4BA7"/>
    <w:rsid w:val="003C2EFF"/>
    <w:rsid w:val="003C3B5D"/>
    <w:rsid w:val="003D077D"/>
    <w:rsid w:val="003E0F12"/>
    <w:rsid w:val="003E3D6C"/>
    <w:rsid w:val="003E5204"/>
    <w:rsid w:val="003E7082"/>
    <w:rsid w:val="003F0274"/>
    <w:rsid w:val="003F22E1"/>
    <w:rsid w:val="003F37BC"/>
    <w:rsid w:val="003F41C6"/>
    <w:rsid w:val="003F54AD"/>
    <w:rsid w:val="003F6E18"/>
    <w:rsid w:val="003F76A0"/>
    <w:rsid w:val="00402C32"/>
    <w:rsid w:val="00402DD4"/>
    <w:rsid w:val="0040524B"/>
    <w:rsid w:val="00406558"/>
    <w:rsid w:val="00410D5B"/>
    <w:rsid w:val="004139A4"/>
    <w:rsid w:val="004142B1"/>
    <w:rsid w:val="00414A90"/>
    <w:rsid w:val="0041677A"/>
    <w:rsid w:val="00423997"/>
    <w:rsid w:val="00426179"/>
    <w:rsid w:val="00433285"/>
    <w:rsid w:val="00436599"/>
    <w:rsid w:val="0043782E"/>
    <w:rsid w:val="0044235B"/>
    <w:rsid w:val="004431AC"/>
    <w:rsid w:val="00444558"/>
    <w:rsid w:val="00447397"/>
    <w:rsid w:val="0044789C"/>
    <w:rsid w:val="004478B8"/>
    <w:rsid w:val="00451CE3"/>
    <w:rsid w:val="00457214"/>
    <w:rsid w:val="00460AF2"/>
    <w:rsid w:val="0046104F"/>
    <w:rsid w:val="00462451"/>
    <w:rsid w:val="00465C3E"/>
    <w:rsid w:val="00470E67"/>
    <w:rsid w:val="00476333"/>
    <w:rsid w:val="00476CA0"/>
    <w:rsid w:val="00480ED1"/>
    <w:rsid w:val="004837A8"/>
    <w:rsid w:val="00484346"/>
    <w:rsid w:val="00485506"/>
    <w:rsid w:val="00490DF4"/>
    <w:rsid w:val="00492D3D"/>
    <w:rsid w:val="00493734"/>
    <w:rsid w:val="004A1501"/>
    <w:rsid w:val="004A2C05"/>
    <w:rsid w:val="004A5E7F"/>
    <w:rsid w:val="004A7D17"/>
    <w:rsid w:val="004B1473"/>
    <w:rsid w:val="004B1C6A"/>
    <w:rsid w:val="004B2B4E"/>
    <w:rsid w:val="004B3E7D"/>
    <w:rsid w:val="004B3EB4"/>
    <w:rsid w:val="004B688D"/>
    <w:rsid w:val="004C10A5"/>
    <w:rsid w:val="004C70C5"/>
    <w:rsid w:val="004C7DB1"/>
    <w:rsid w:val="004D53DC"/>
    <w:rsid w:val="004D6B48"/>
    <w:rsid w:val="004D700F"/>
    <w:rsid w:val="004F3A84"/>
    <w:rsid w:val="004F47A4"/>
    <w:rsid w:val="004F6524"/>
    <w:rsid w:val="004F6A7C"/>
    <w:rsid w:val="005006AD"/>
    <w:rsid w:val="00501E32"/>
    <w:rsid w:val="00502760"/>
    <w:rsid w:val="00502F94"/>
    <w:rsid w:val="005034C8"/>
    <w:rsid w:val="005041C7"/>
    <w:rsid w:val="0050520A"/>
    <w:rsid w:val="0051385D"/>
    <w:rsid w:val="00522C76"/>
    <w:rsid w:val="00534949"/>
    <w:rsid w:val="005368E9"/>
    <w:rsid w:val="00536BE7"/>
    <w:rsid w:val="0054017C"/>
    <w:rsid w:val="0054610B"/>
    <w:rsid w:val="00550880"/>
    <w:rsid w:val="005539BB"/>
    <w:rsid w:val="005554B4"/>
    <w:rsid w:val="00560178"/>
    <w:rsid w:val="00560AE8"/>
    <w:rsid w:val="00561D32"/>
    <w:rsid w:val="00561F2D"/>
    <w:rsid w:val="005645AA"/>
    <w:rsid w:val="005706D3"/>
    <w:rsid w:val="00570F14"/>
    <w:rsid w:val="005733E7"/>
    <w:rsid w:val="00573CAF"/>
    <w:rsid w:val="005760EC"/>
    <w:rsid w:val="0058186F"/>
    <w:rsid w:val="00582AE4"/>
    <w:rsid w:val="00583EE0"/>
    <w:rsid w:val="005845B6"/>
    <w:rsid w:val="0058727F"/>
    <w:rsid w:val="00590EF0"/>
    <w:rsid w:val="00593958"/>
    <w:rsid w:val="005A0932"/>
    <w:rsid w:val="005A1919"/>
    <w:rsid w:val="005A5CA9"/>
    <w:rsid w:val="005A6943"/>
    <w:rsid w:val="005A78E0"/>
    <w:rsid w:val="005B14E3"/>
    <w:rsid w:val="005B34FD"/>
    <w:rsid w:val="005C53C1"/>
    <w:rsid w:val="005C5591"/>
    <w:rsid w:val="005C5A4A"/>
    <w:rsid w:val="005D3C34"/>
    <w:rsid w:val="005D4B04"/>
    <w:rsid w:val="005D5808"/>
    <w:rsid w:val="005E0681"/>
    <w:rsid w:val="005E5935"/>
    <w:rsid w:val="005F1D1C"/>
    <w:rsid w:val="005F3F0D"/>
    <w:rsid w:val="005F4830"/>
    <w:rsid w:val="005F6B5A"/>
    <w:rsid w:val="005F6E03"/>
    <w:rsid w:val="0060000A"/>
    <w:rsid w:val="006042B2"/>
    <w:rsid w:val="006077F3"/>
    <w:rsid w:val="00607939"/>
    <w:rsid w:val="00613E35"/>
    <w:rsid w:val="00616449"/>
    <w:rsid w:val="006165E4"/>
    <w:rsid w:val="006169A4"/>
    <w:rsid w:val="00622F69"/>
    <w:rsid w:val="00624732"/>
    <w:rsid w:val="00626B3F"/>
    <w:rsid w:val="00627C20"/>
    <w:rsid w:val="0063270C"/>
    <w:rsid w:val="006410C3"/>
    <w:rsid w:val="00641678"/>
    <w:rsid w:val="00645412"/>
    <w:rsid w:val="00646151"/>
    <w:rsid w:val="00650385"/>
    <w:rsid w:val="006545B7"/>
    <w:rsid w:val="006567B3"/>
    <w:rsid w:val="00660069"/>
    <w:rsid w:val="00660FBF"/>
    <w:rsid w:val="006610D4"/>
    <w:rsid w:val="006621B5"/>
    <w:rsid w:val="00664388"/>
    <w:rsid w:val="0066497D"/>
    <w:rsid w:val="00667A8F"/>
    <w:rsid w:val="006709AB"/>
    <w:rsid w:val="00671492"/>
    <w:rsid w:val="00672F70"/>
    <w:rsid w:val="00682771"/>
    <w:rsid w:val="00683892"/>
    <w:rsid w:val="00686C8F"/>
    <w:rsid w:val="00690F67"/>
    <w:rsid w:val="00692EB4"/>
    <w:rsid w:val="00692FCE"/>
    <w:rsid w:val="00695071"/>
    <w:rsid w:val="00695C9A"/>
    <w:rsid w:val="00696069"/>
    <w:rsid w:val="00696F49"/>
    <w:rsid w:val="006A74B7"/>
    <w:rsid w:val="006B09A0"/>
    <w:rsid w:val="006B23C2"/>
    <w:rsid w:val="006C1EFF"/>
    <w:rsid w:val="006D0554"/>
    <w:rsid w:val="006D114F"/>
    <w:rsid w:val="006D1365"/>
    <w:rsid w:val="006D27C3"/>
    <w:rsid w:val="006D27DE"/>
    <w:rsid w:val="006D6E3A"/>
    <w:rsid w:val="006E1E22"/>
    <w:rsid w:val="006E1E26"/>
    <w:rsid w:val="006E4D22"/>
    <w:rsid w:val="006E5AE8"/>
    <w:rsid w:val="006E744D"/>
    <w:rsid w:val="006F13EA"/>
    <w:rsid w:val="006F6AEE"/>
    <w:rsid w:val="00702814"/>
    <w:rsid w:val="00703E5D"/>
    <w:rsid w:val="00706E3D"/>
    <w:rsid w:val="007076F0"/>
    <w:rsid w:val="00712464"/>
    <w:rsid w:val="00712477"/>
    <w:rsid w:val="00712C26"/>
    <w:rsid w:val="00714998"/>
    <w:rsid w:val="0071599C"/>
    <w:rsid w:val="0072299A"/>
    <w:rsid w:val="00725C70"/>
    <w:rsid w:val="00730CA9"/>
    <w:rsid w:val="007310CF"/>
    <w:rsid w:val="00736ABD"/>
    <w:rsid w:val="00740A6C"/>
    <w:rsid w:val="00742623"/>
    <w:rsid w:val="00742DB2"/>
    <w:rsid w:val="0074775C"/>
    <w:rsid w:val="00750A14"/>
    <w:rsid w:val="00750A18"/>
    <w:rsid w:val="00752CDB"/>
    <w:rsid w:val="00757709"/>
    <w:rsid w:val="007625E2"/>
    <w:rsid w:val="0076500D"/>
    <w:rsid w:val="00766997"/>
    <w:rsid w:val="00766B2B"/>
    <w:rsid w:val="00767779"/>
    <w:rsid w:val="00771D34"/>
    <w:rsid w:val="007722CE"/>
    <w:rsid w:val="00774B61"/>
    <w:rsid w:val="007816C7"/>
    <w:rsid w:val="007830C9"/>
    <w:rsid w:val="00783246"/>
    <w:rsid w:val="00790D2B"/>
    <w:rsid w:val="00791F9F"/>
    <w:rsid w:val="00792279"/>
    <w:rsid w:val="00792AEE"/>
    <w:rsid w:val="00793210"/>
    <w:rsid w:val="00795E70"/>
    <w:rsid w:val="0079609D"/>
    <w:rsid w:val="007A05D4"/>
    <w:rsid w:val="007A05DF"/>
    <w:rsid w:val="007A38AE"/>
    <w:rsid w:val="007A6FAD"/>
    <w:rsid w:val="007A710E"/>
    <w:rsid w:val="007A7BFA"/>
    <w:rsid w:val="007B0721"/>
    <w:rsid w:val="007B5DA2"/>
    <w:rsid w:val="007B6A1E"/>
    <w:rsid w:val="007C3424"/>
    <w:rsid w:val="007C505E"/>
    <w:rsid w:val="007C63B8"/>
    <w:rsid w:val="007C7BB3"/>
    <w:rsid w:val="007D11B0"/>
    <w:rsid w:val="007D2921"/>
    <w:rsid w:val="007D440E"/>
    <w:rsid w:val="007D578A"/>
    <w:rsid w:val="007D6129"/>
    <w:rsid w:val="007D6C48"/>
    <w:rsid w:val="007D7A23"/>
    <w:rsid w:val="007E2806"/>
    <w:rsid w:val="007E46F1"/>
    <w:rsid w:val="007F683D"/>
    <w:rsid w:val="007F7CB0"/>
    <w:rsid w:val="008056A7"/>
    <w:rsid w:val="00805AD9"/>
    <w:rsid w:val="008076BE"/>
    <w:rsid w:val="00807C3A"/>
    <w:rsid w:val="008109F0"/>
    <w:rsid w:val="00811122"/>
    <w:rsid w:val="00815C35"/>
    <w:rsid w:val="00820587"/>
    <w:rsid w:val="008254B0"/>
    <w:rsid w:val="00830EC7"/>
    <w:rsid w:val="008329CB"/>
    <w:rsid w:val="00833E63"/>
    <w:rsid w:val="00835256"/>
    <w:rsid w:val="00835395"/>
    <w:rsid w:val="00842D6E"/>
    <w:rsid w:val="0084375E"/>
    <w:rsid w:val="00845075"/>
    <w:rsid w:val="0084795C"/>
    <w:rsid w:val="00861148"/>
    <w:rsid w:val="008626DC"/>
    <w:rsid w:val="00866B14"/>
    <w:rsid w:val="00875DDD"/>
    <w:rsid w:val="008761E5"/>
    <w:rsid w:val="0088718D"/>
    <w:rsid w:val="008930C2"/>
    <w:rsid w:val="00893451"/>
    <w:rsid w:val="00895A35"/>
    <w:rsid w:val="008A1684"/>
    <w:rsid w:val="008A45E3"/>
    <w:rsid w:val="008A775F"/>
    <w:rsid w:val="008B43C1"/>
    <w:rsid w:val="008B6A22"/>
    <w:rsid w:val="008C1CF7"/>
    <w:rsid w:val="008C3706"/>
    <w:rsid w:val="008C4573"/>
    <w:rsid w:val="008C4EB0"/>
    <w:rsid w:val="008C5E59"/>
    <w:rsid w:val="008C7899"/>
    <w:rsid w:val="008D01F8"/>
    <w:rsid w:val="008D265D"/>
    <w:rsid w:val="008F360F"/>
    <w:rsid w:val="008F4991"/>
    <w:rsid w:val="008F61E1"/>
    <w:rsid w:val="008F6234"/>
    <w:rsid w:val="008F7857"/>
    <w:rsid w:val="009005B7"/>
    <w:rsid w:val="00905E1D"/>
    <w:rsid w:val="00906378"/>
    <w:rsid w:val="00914CB8"/>
    <w:rsid w:val="00914DE7"/>
    <w:rsid w:val="009208EA"/>
    <w:rsid w:val="00920E80"/>
    <w:rsid w:val="009217D8"/>
    <w:rsid w:val="009252C1"/>
    <w:rsid w:val="0092626B"/>
    <w:rsid w:val="00926B24"/>
    <w:rsid w:val="00927236"/>
    <w:rsid w:val="009276CB"/>
    <w:rsid w:val="009302AD"/>
    <w:rsid w:val="00936578"/>
    <w:rsid w:val="00940146"/>
    <w:rsid w:val="00940A91"/>
    <w:rsid w:val="00944825"/>
    <w:rsid w:val="009455AF"/>
    <w:rsid w:val="00945A8C"/>
    <w:rsid w:val="00947E0C"/>
    <w:rsid w:val="00954513"/>
    <w:rsid w:val="009552C1"/>
    <w:rsid w:val="009554AA"/>
    <w:rsid w:val="009555E1"/>
    <w:rsid w:val="00962E85"/>
    <w:rsid w:val="00964941"/>
    <w:rsid w:val="009649A0"/>
    <w:rsid w:val="00964FC4"/>
    <w:rsid w:val="0097157B"/>
    <w:rsid w:val="00972726"/>
    <w:rsid w:val="0097369F"/>
    <w:rsid w:val="009737D5"/>
    <w:rsid w:val="00973EF1"/>
    <w:rsid w:val="00973F32"/>
    <w:rsid w:val="009748CE"/>
    <w:rsid w:val="0097538E"/>
    <w:rsid w:val="009847B0"/>
    <w:rsid w:val="00986401"/>
    <w:rsid w:val="009905A9"/>
    <w:rsid w:val="009947E6"/>
    <w:rsid w:val="0099515C"/>
    <w:rsid w:val="00996CFF"/>
    <w:rsid w:val="009A1584"/>
    <w:rsid w:val="009A367D"/>
    <w:rsid w:val="009A3D77"/>
    <w:rsid w:val="009A4BE9"/>
    <w:rsid w:val="009A6E7E"/>
    <w:rsid w:val="009B1BD2"/>
    <w:rsid w:val="009B6299"/>
    <w:rsid w:val="009C0D75"/>
    <w:rsid w:val="009C235C"/>
    <w:rsid w:val="009C71B7"/>
    <w:rsid w:val="009D0E34"/>
    <w:rsid w:val="009D0FFC"/>
    <w:rsid w:val="009D1CE4"/>
    <w:rsid w:val="009D3D4E"/>
    <w:rsid w:val="009D4862"/>
    <w:rsid w:val="009D4DDB"/>
    <w:rsid w:val="009D5681"/>
    <w:rsid w:val="009D6F3E"/>
    <w:rsid w:val="009D7AB1"/>
    <w:rsid w:val="009E136A"/>
    <w:rsid w:val="009E32CE"/>
    <w:rsid w:val="009E6599"/>
    <w:rsid w:val="009F30B1"/>
    <w:rsid w:val="009F4B6B"/>
    <w:rsid w:val="009F7BD8"/>
    <w:rsid w:val="00A01F97"/>
    <w:rsid w:val="00A04384"/>
    <w:rsid w:val="00A04AEB"/>
    <w:rsid w:val="00A0605C"/>
    <w:rsid w:val="00A06B3C"/>
    <w:rsid w:val="00A07DA5"/>
    <w:rsid w:val="00A117CE"/>
    <w:rsid w:val="00A11C84"/>
    <w:rsid w:val="00A15213"/>
    <w:rsid w:val="00A20161"/>
    <w:rsid w:val="00A21D92"/>
    <w:rsid w:val="00A235FA"/>
    <w:rsid w:val="00A25C89"/>
    <w:rsid w:val="00A26FF3"/>
    <w:rsid w:val="00A30162"/>
    <w:rsid w:val="00A30184"/>
    <w:rsid w:val="00A305F8"/>
    <w:rsid w:val="00A34DAA"/>
    <w:rsid w:val="00A4113B"/>
    <w:rsid w:val="00A4211A"/>
    <w:rsid w:val="00A42270"/>
    <w:rsid w:val="00A45B0D"/>
    <w:rsid w:val="00A46B4E"/>
    <w:rsid w:val="00A502E9"/>
    <w:rsid w:val="00A64BE1"/>
    <w:rsid w:val="00A670B9"/>
    <w:rsid w:val="00A761C0"/>
    <w:rsid w:val="00A76705"/>
    <w:rsid w:val="00A8275C"/>
    <w:rsid w:val="00A83F80"/>
    <w:rsid w:val="00A90A2F"/>
    <w:rsid w:val="00A9116B"/>
    <w:rsid w:val="00A936DB"/>
    <w:rsid w:val="00A93AD8"/>
    <w:rsid w:val="00A9570D"/>
    <w:rsid w:val="00A95FBD"/>
    <w:rsid w:val="00AA1A67"/>
    <w:rsid w:val="00AA2353"/>
    <w:rsid w:val="00AA255E"/>
    <w:rsid w:val="00AA3A94"/>
    <w:rsid w:val="00AA3F92"/>
    <w:rsid w:val="00AA41C6"/>
    <w:rsid w:val="00AA6628"/>
    <w:rsid w:val="00AB057B"/>
    <w:rsid w:val="00AB3F4C"/>
    <w:rsid w:val="00AC1FE6"/>
    <w:rsid w:val="00AC3299"/>
    <w:rsid w:val="00AC51B7"/>
    <w:rsid w:val="00AC5638"/>
    <w:rsid w:val="00AC5907"/>
    <w:rsid w:val="00AD0044"/>
    <w:rsid w:val="00AD3090"/>
    <w:rsid w:val="00AD50FE"/>
    <w:rsid w:val="00AD6546"/>
    <w:rsid w:val="00AE3C1D"/>
    <w:rsid w:val="00AE55D6"/>
    <w:rsid w:val="00AE66B6"/>
    <w:rsid w:val="00AE7474"/>
    <w:rsid w:val="00AF0F60"/>
    <w:rsid w:val="00AF1C84"/>
    <w:rsid w:val="00AF3D40"/>
    <w:rsid w:val="00AF608F"/>
    <w:rsid w:val="00B01761"/>
    <w:rsid w:val="00B0370E"/>
    <w:rsid w:val="00B06393"/>
    <w:rsid w:val="00B13282"/>
    <w:rsid w:val="00B14977"/>
    <w:rsid w:val="00B1510E"/>
    <w:rsid w:val="00B172A0"/>
    <w:rsid w:val="00B17372"/>
    <w:rsid w:val="00B17D0D"/>
    <w:rsid w:val="00B216A0"/>
    <w:rsid w:val="00B220CC"/>
    <w:rsid w:val="00B2286F"/>
    <w:rsid w:val="00B24355"/>
    <w:rsid w:val="00B26630"/>
    <w:rsid w:val="00B27273"/>
    <w:rsid w:val="00B27D61"/>
    <w:rsid w:val="00B31A30"/>
    <w:rsid w:val="00B32C4B"/>
    <w:rsid w:val="00B330A4"/>
    <w:rsid w:val="00B33CB4"/>
    <w:rsid w:val="00B41B43"/>
    <w:rsid w:val="00B4561B"/>
    <w:rsid w:val="00B54CE8"/>
    <w:rsid w:val="00B62566"/>
    <w:rsid w:val="00B678B7"/>
    <w:rsid w:val="00B71224"/>
    <w:rsid w:val="00B71B0F"/>
    <w:rsid w:val="00B72EAF"/>
    <w:rsid w:val="00B73D94"/>
    <w:rsid w:val="00B74975"/>
    <w:rsid w:val="00B7753C"/>
    <w:rsid w:val="00B824B3"/>
    <w:rsid w:val="00B82782"/>
    <w:rsid w:val="00B82C74"/>
    <w:rsid w:val="00B82EA9"/>
    <w:rsid w:val="00B84B17"/>
    <w:rsid w:val="00B85AA9"/>
    <w:rsid w:val="00B862B2"/>
    <w:rsid w:val="00B93A7E"/>
    <w:rsid w:val="00BA79C2"/>
    <w:rsid w:val="00BA7B2D"/>
    <w:rsid w:val="00BB11C0"/>
    <w:rsid w:val="00BB2087"/>
    <w:rsid w:val="00BB28F8"/>
    <w:rsid w:val="00BB4329"/>
    <w:rsid w:val="00BB5B90"/>
    <w:rsid w:val="00BC77F5"/>
    <w:rsid w:val="00BC789C"/>
    <w:rsid w:val="00BD15B7"/>
    <w:rsid w:val="00BD240F"/>
    <w:rsid w:val="00BD3AE7"/>
    <w:rsid w:val="00BD5807"/>
    <w:rsid w:val="00BD656B"/>
    <w:rsid w:val="00BE22E7"/>
    <w:rsid w:val="00BE2864"/>
    <w:rsid w:val="00BE2DDA"/>
    <w:rsid w:val="00BE6085"/>
    <w:rsid w:val="00BE6B74"/>
    <w:rsid w:val="00BF166B"/>
    <w:rsid w:val="00BF1FE1"/>
    <w:rsid w:val="00BF32FE"/>
    <w:rsid w:val="00BF52DC"/>
    <w:rsid w:val="00C02E0A"/>
    <w:rsid w:val="00C035C0"/>
    <w:rsid w:val="00C0377E"/>
    <w:rsid w:val="00C03CEE"/>
    <w:rsid w:val="00C108D2"/>
    <w:rsid w:val="00C10C2A"/>
    <w:rsid w:val="00C12E2B"/>
    <w:rsid w:val="00C133E0"/>
    <w:rsid w:val="00C163A1"/>
    <w:rsid w:val="00C219FC"/>
    <w:rsid w:val="00C21AED"/>
    <w:rsid w:val="00C21E0F"/>
    <w:rsid w:val="00C21E53"/>
    <w:rsid w:val="00C31E20"/>
    <w:rsid w:val="00C31F76"/>
    <w:rsid w:val="00C328D2"/>
    <w:rsid w:val="00C41858"/>
    <w:rsid w:val="00C432EA"/>
    <w:rsid w:val="00C45D24"/>
    <w:rsid w:val="00C46B28"/>
    <w:rsid w:val="00C4756B"/>
    <w:rsid w:val="00C47A5F"/>
    <w:rsid w:val="00C47F30"/>
    <w:rsid w:val="00C53F8F"/>
    <w:rsid w:val="00C54588"/>
    <w:rsid w:val="00C548C7"/>
    <w:rsid w:val="00C54B1D"/>
    <w:rsid w:val="00C55DFB"/>
    <w:rsid w:val="00C56755"/>
    <w:rsid w:val="00C60796"/>
    <w:rsid w:val="00C627BE"/>
    <w:rsid w:val="00C62B02"/>
    <w:rsid w:val="00C638B3"/>
    <w:rsid w:val="00C6584B"/>
    <w:rsid w:val="00C708AD"/>
    <w:rsid w:val="00C72CD5"/>
    <w:rsid w:val="00C7651C"/>
    <w:rsid w:val="00C7764C"/>
    <w:rsid w:val="00C80D3B"/>
    <w:rsid w:val="00C81440"/>
    <w:rsid w:val="00C86452"/>
    <w:rsid w:val="00C90186"/>
    <w:rsid w:val="00C93E46"/>
    <w:rsid w:val="00C950E2"/>
    <w:rsid w:val="00C95982"/>
    <w:rsid w:val="00C9602D"/>
    <w:rsid w:val="00C967D1"/>
    <w:rsid w:val="00C96BC5"/>
    <w:rsid w:val="00C96D39"/>
    <w:rsid w:val="00CA03FF"/>
    <w:rsid w:val="00CA3343"/>
    <w:rsid w:val="00CB0E6C"/>
    <w:rsid w:val="00CB0F63"/>
    <w:rsid w:val="00CB15D3"/>
    <w:rsid w:val="00CB4C28"/>
    <w:rsid w:val="00CB53D1"/>
    <w:rsid w:val="00CC02E2"/>
    <w:rsid w:val="00CC2657"/>
    <w:rsid w:val="00CC6924"/>
    <w:rsid w:val="00CD08C3"/>
    <w:rsid w:val="00CD1E83"/>
    <w:rsid w:val="00CD7061"/>
    <w:rsid w:val="00CE0EDC"/>
    <w:rsid w:val="00CE5540"/>
    <w:rsid w:val="00CE64C9"/>
    <w:rsid w:val="00CE669F"/>
    <w:rsid w:val="00CE6DEA"/>
    <w:rsid w:val="00CF0E36"/>
    <w:rsid w:val="00CF119D"/>
    <w:rsid w:val="00CF19B2"/>
    <w:rsid w:val="00CF1FB4"/>
    <w:rsid w:val="00CF3C83"/>
    <w:rsid w:val="00CF5497"/>
    <w:rsid w:val="00CF6591"/>
    <w:rsid w:val="00CF72F8"/>
    <w:rsid w:val="00CF7E27"/>
    <w:rsid w:val="00D06092"/>
    <w:rsid w:val="00D0765A"/>
    <w:rsid w:val="00D1234E"/>
    <w:rsid w:val="00D14A1B"/>
    <w:rsid w:val="00D15841"/>
    <w:rsid w:val="00D20F03"/>
    <w:rsid w:val="00D22161"/>
    <w:rsid w:val="00D26BD3"/>
    <w:rsid w:val="00D27AB7"/>
    <w:rsid w:val="00D336F4"/>
    <w:rsid w:val="00D36C97"/>
    <w:rsid w:val="00D37C6D"/>
    <w:rsid w:val="00D54437"/>
    <w:rsid w:val="00D6100B"/>
    <w:rsid w:val="00D61FD9"/>
    <w:rsid w:val="00D62A22"/>
    <w:rsid w:val="00D63B81"/>
    <w:rsid w:val="00D65FB9"/>
    <w:rsid w:val="00D679C4"/>
    <w:rsid w:val="00D708CB"/>
    <w:rsid w:val="00D71686"/>
    <w:rsid w:val="00D71ABA"/>
    <w:rsid w:val="00D72695"/>
    <w:rsid w:val="00D7368F"/>
    <w:rsid w:val="00D77A95"/>
    <w:rsid w:val="00D82F4E"/>
    <w:rsid w:val="00D82FDF"/>
    <w:rsid w:val="00D83A28"/>
    <w:rsid w:val="00D853B9"/>
    <w:rsid w:val="00D8549B"/>
    <w:rsid w:val="00D87FC7"/>
    <w:rsid w:val="00D903F0"/>
    <w:rsid w:val="00D93312"/>
    <w:rsid w:val="00D95AD9"/>
    <w:rsid w:val="00DA25F2"/>
    <w:rsid w:val="00DA510A"/>
    <w:rsid w:val="00DA659B"/>
    <w:rsid w:val="00DB0C66"/>
    <w:rsid w:val="00DB3C19"/>
    <w:rsid w:val="00DB3F21"/>
    <w:rsid w:val="00DB4E95"/>
    <w:rsid w:val="00DB5754"/>
    <w:rsid w:val="00DB59BD"/>
    <w:rsid w:val="00DB6F3E"/>
    <w:rsid w:val="00DC08FE"/>
    <w:rsid w:val="00DC2DC6"/>
    <w:rsid w:val="00DC691C"/>
    <w:rsid w:val="00DD3B45"/>
    <w:rsid w:val="00DD4756"/>
    <w:rsid w:val="00DD4843"/>
    <w:rsid w:val="00DD65B5"/>
    <w:rsid w:val="00DE380F"/>
    <w:rsid w:val="00DE41A7"/>
    <w:rsid w:val="00DF1FD1"/>
    <w:rsid w:val="00DF382B"/>
    <w:rsid w:val="00DF45CA"/>
    <w:rsid w:val="00DF4E56"/>
    <w:rsid w:val="00DF6A5E"/>
    <w:rsid w:val="00E04376"/>
    <w:rsid w:val="00E06166"/>
    <w:rsid w:val="00E06734"/>
    <w:rsid w:val="00E07B42"/>
    <w:rsid w:val="00E126A6"/>
    <w:rsid w:val="00E12FDD"/>
    <w:rsid w:val="00E22372"/>
    <w:rsid w:val="00E232D0"/>
    <w:rsid w:val="00E2744E"/>
    <w:rsid w:val="00E27855"/>
    <w:rsid w:val="00E3245E"/>
    <w:rsid w:val="00E355F0"/>
    <w:rsid w:val="00E37A85"/>
    <w:rsid w:val="00E40DA3"/>
    <w:rsid w:val="00E428A4"/>
    <w:rsid w:val="00E45305"/>
    <w:rsid w:val="00E47EFC"/>
    <w:rsid w:val="00E528F9"/>
    <w:rsid w:val="00E53148"/>
    <w:rsid w:val="00E53DB3"/>
    <w:rsid w:val="00E54314"/>
    <w:rsid w:val="00E545B9"/>
    <w:rsid w:val="00E55636"/>
    <w:rsid w:val="00E55B57"/>
    <w:rsid w:val="00E5719D"/>
    <w:rsid w:val="00E57680"/>
    <w:rsid w:val="00E61A34"/>
    <w:rsid w:val="00E6469D"/>
    <w:rsid w:val="00E6506E"/>
    <w:rsid w:val="00E65820"/>
    <w:rsid w:val="00E71993"/>
    <w:rsid w:val="00E71B5B"/>
    <w:rsid w:val="00E81496"/>
    <w:rsid w:val="00E824C1"/>
    <w:rsid w:val="00E828E6"/>
    <w:rsid w:val="00E84D41"/>
    <w:rsid w:val="00E86A91"/>
    <w:rsid w:val="00E87CBA"/>
    <w:rsid w:val="00E909B1"/>
    <w:rsid w:val="00E91110"/>
    <w:rsid w:val="00E918A6"/>
    <w:rsid w:val="00E91E38"/>
    <w:rsid w:val="00E93331"/>
    <w:rsid w:val="00E94537"/>
    <w:rsid w:val="00E964EC"/>
    <w:rsid w:val="00E96A2D"/>
    <w:rsid w:val="00E97804"/>
    <w:rsid w:val="00EA1F43"/>
    <w:rsid w:val="00EA371E"/>
    <w:rsid w:val="00EA4589"/>
    <w:rsid w:val="00EA6662"/>
    <w:rsid w:val="00EA6B40"/>
    <w:rsid w:val="00EB01E1"/>
    <w:rsid w:val="00EB3586"/>
    <w:rsid w:val="00EB4288"/>
    <w:rsid w:val="00EB4A0A"/>
    <w:rsid w:val="00EC0AFA"/>
    <w:rsid w:val="00EC1C26"/>
    <w:rsid w:val="00EC2354"/>
    <w:rsid w:val="00EC6EA8"/>
    <w:rsid w:val="00EC7198"/>
    <w:rsid w:val="00ED0884"/>
    <w:rsid w:val="00ED0F68"/>
    <w:rsid w:val="00ED2BCC"/>
    <w:rsid w:val="00ED5D9F"/>
    <w:rsid w:val="00ED6B61"/>
    <w:rsid w:val="00EE16FB"/>
    <w:rsid w:val="00EE5246"/>
    <w:rsid w:val="00EE64C0"/>
    <w:rsid w:val="00EF13DF"/>
    <w:rsid w:val="00EF2609"/>
    <w:rsid w:val="00EF3345"/>
    <w:rsid w:val="00EF4CDB"/>
    <w:rsid w:val="00EF507D"/>
    <w:rsid w:val="00EF6EC5"/>
    <w:rsid w:val="00F01F70"/>
    <w:rsid w:val="00F038E9"/>
    <w:rsid w:val="00F0412D"/>
    <w:rsid w:val="00F043B0"/>
    <w:rsid w:val="00F04A18"/>
    <w:rsid w:val="00F06444"/>
    <w:rsid w:val="00F06D6D"/>
    <w:rsid w:val="00F07F75"/>
    <w:rsid w:val="00F1182E"/>
    <w:rsid w:val="00F1358A"/>
    <w:rsid w:val="00F17251"/>
    <w:rsid w:val="00F209C1"/>
    <w:rsid w:val="00F2580E"/>
    <w:rsid w:val="00F273D9"/>
    <w:rsid w:val="00F30088"/>
    <w:rsid w:val="00F32132"/>
    <w:rsid w:val="00F3332F"/>
    <w:rsid w:val="00F33336"/>
    <w:rsid w:val="00F34E24"/>
    <w:rsid w:val="00F35B46"/>
    <w:rsid w:val="00F37327"/>
    <w:rsid w:val="00F376D1"/>
    <w:rsid w:val="00F37C4C"/>
    <w:rsid w:val="00F40777"/>
    <w:rsid w:val="00F415E4"/>
    <w:rsid w:val="00F46383"/>
    <w:rsid w:val="00F4744A"/>
    <w:rsid w:val="00F51526"/>
    <w:rsid w:val="00F52401"/>
    <w:rsid w:val="00F57566"/>
    <w:rsid w:val="00F636F5"/>
    <w:rsid w:val="00F6544B"/>
    <w:rsid w:val="00F66571"/>
    <w:rsid w:val="00F67BA5"/>
    <w:rsid w:val="00F8041C"/>
    <w:rsid w:val="00F82048"/>
    <w:rsid w:val="00F82879"/>
    <w:rsid w:val="00F8404D"/>
    <w:rsid w:val="00F8711A"/>
    <w:rsid w:val="00F8750F"/>
    <w:rsid w:val="00F90343"/>
    <w:rsid w:val="00F92642"/>
    <w:rsid w:val="00FA0A31"/>
    <w:rsid w:val="00FA11AB"/>
    <w:rsid w:val="00FB0F5E"/>
    <w:rsid w:val="00FB2BBE"/>
    <w:rsid w:val="00FB2D6E"/>
    <w:rsid w:val="00FB56A0"/>
    <w:rsid w:val="00FB7823"/>
    <w:rsid w:val="00FC2F47"/>
    <w:rsid w:val="00FC442F"/>
    <w:rsid w:val="00FC63FC"/>
    <w:rsid w:val="00FC6A85"/>
    <w:rsid w:val="00FC79B4"/>
    <w:rsid w:val="00FD0A0D"/>
    <w:rsid w:val="00FD5813"/>
    <w:rsid w:val="00FD6AFF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E5879E"/>
  <w14:defaultImageDpi w14:val="300"/>
  <w15:chartTrackingRefBased/>
  <w15:docId w15:val="{6EE61A81-9C37-314B-ABD3-13B17D16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8B43C1"/>
    <w:pPr>
      <w:spacing w:after="120"/>
    </w:pPr>
    <w:rPr>
      <w:rFonts w:ascii="Arial" w:hAnsi="Arial" w:cs="Arial"/>
      <w:b/>
      <w:bCs/>
      <w:sz w:val="22"/>
      <w:szCs w:val="22"/>
    </w:rPr>
  </w:style>
  <w:style w:type="paragraph" w:styleId="berschrift3">
    <w:name w:val="heading 3"/>
    <w:basedOn w:val="Standard"/>
    <w:next w:val="Standard"/>
    <w:qFormat/>
    <w:rsid w:val="0046104F"/>
    <w:pPr>
      <w:keepNext/>
      <w:framePr w:hSpace="141" w:wrap="around" w:vAnchor="page" w:hAnchor="margin" w:y="490"/>
      <w:tabs>
        <w:tab w:val="left" w:pos="2101"/>
        <w:tab w:val="left" w:pos="2406"/>
        <w:tab w:val="left" w:pos="3388"/>
        <w:tab w:val="center" w:pos="4535"/>
      </w:tabs>
      <w:jc w:val="center"/>
      <w:outlineLvl w:val="2"/>
    </w:pPr>
    <w:rPr>
      <w:rFonts w:ascii="Times New Roman" w:hAnsi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056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056A7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8056A7"/>
    <w:pPr>
      <w:ind w:left="708"/>
    </w:pPr>
    <w:rPr>
      <w:szCs w:val="20"/>
    </w:rPr>
  </w:style>
  <w:style w:type="character" w:styleId="Seitenzahl">
    <w:name w:val="page number"/>
    <w:basedOn w:val="Absatz-Standardschriftart"/>
    <w:rsid w:val="008056A7"/>
  </w:style>
  <w:style w:type="table" w:styleId="Tabellenraster">
    <w:name w:val="Table Grid"/>
    <w:basedOn w:val="NormaleTabelle"/>
    <w:rsid w:val="00A42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72"/>
    <w:qFormat/>
    <w:rsid w:val="00EA6B40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71993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71993"/>
    <w:rPr>
      <w:rFonts w:ascii="Arial" w:hAnsi="Arial" w:cs="Arial"/>
      <w:b/>
      <w:bCs/>
    </w:rPr>
  </w:style>
  <w:style w:type="character" w:styleId="Funotenzeichen">
    <w:name w:val="footnote reference"/>
    <w:basedOn w:val="Absatz-Standardschriftart"/>
    <w:uiPriority w:val="99"/>
    <w:semiHidden/>
    <w:unhideWhenUsed/>
    <w:rsid w:val="00E719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keweitemeyer-fey/Documents/Fachberatung/Lernsituation_DU/u2_1_stati_Investi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u2_1_stati_Investition.dotx</Template>
  <TotalTime>0</TotalTime>
  <Pages>2</Pages>
  <Words>225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Designermöbel GmbH möchte im Rahmen der im Eingangsfall beschriebenen Kapazitätserweiterung eine neue CNC-Fräse erwerben</vt:lpstr>
    </vt:vector>
  </TitlesOfParts>
  <Company> 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Designermöbel GmbH möchte im Rahmen der im Eingangsfall beschriebenen Kapazitätserweiterung eine neue CNC-Fräse erwerben</dc:title>
  <dc:subject/>
  <dc:creator>Anke Weitemeyer-Fey</dc:creator>
  <cp:keywords/>
  <dc:description/>
  <cp:lastModifiedBy>Anke Weitemeyer-Fey</cp:lastModifiedBy>
  <cp:revision>11</cp:revision>
  <cp:lastPrinted>2021-01-20T13:16:00Z</cp:lastPrinted>
  <dcterms:created xsi:type="dcterms:W3CDTF">2021-01-20T11:24:00Z</dcterms:created>
  <dcterms:modified xsi:type="dcterms:W3CDTF">2021-03-19T17:52:00Z</dcterms:modified>
</cp:coreProperties>
</file>