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0F35" w:rsidRDefault="00692EB4" w:rsidP="00EA6B40">
      <w:r w:rsidRPr="00BB28F8">
        <w:rPr>
          <w:noProof/>
          <w:sz w:val="28"/>
          <w:szCs w:val="28"/>
        </w:rPr>
        <w:drawing>
          <wp:anchor distT="0" distB="0" distL="114300" distR="114300" simplePos="0" relativeHeight="251665408" behindDoc="1" locked="0" layoutInCell="1" allowOverlap="1">
            <wp:simplePos x="0" y="0"/>
            <wp:positionH relativeFrom="column">
              <wp:posOffset>3962400</wp:posOffset>
            </wp:positionH>
            <wp:positionV relativeFrom="paragraph">
              <wp:posOffset>-40640</wp:posOffset>
            </wp:positionV>
            <wp:extent cx="1918970" cy="376555"/>
            <wp:effectExtent l="0" t="0" r="0" b="0"/>
            <wp:wrapTight wrapText="bothSides">
              <wp:wrapPolygon edited="0">
                <wp:start x="0" y="0"/>
                <wp:lineTo x="0" y="21126"/>
                <wp:lineTo x="21443" y="21126"/>
                <wp:lineTo x="21443" y="0"/>
                <wp:lineTo x="0" y="0"/>
              </wp:wrapPolygon>
            </wp:wrapTight>
            <wp:docPr id="5" name="Bild 2" descr="Beschreibung: Designermöb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Beschreibung: Designermöbel"/>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8970" cy="376555"/>
                    </a:xfrm>
                    <a:prstGeom prst="rect">
                      <a:avLst/>
                    </a:prstGeom>
                    <a:noFill/>
                    <a:ln>
                      <a:noFill/>
                    </a:ln>
                  </pic:spPr>
                </pic:pic>
              </a:graphicData>
            </a:graphic>
            <wp14:sizeRelH relativeFrom="page">
              <wp14:pctWidth>0</wp14:pctWidth>
            </wp14:sizeRelH>
            <wp14:sizeRelV relativeFrom="page">
              <wp14:pctHeight>0</wp14:pctHeight>
            </wp14:sizeRelV>
          </wp:anchor>
        </w:drawing>
      </w:r>
      <w:r w:rsidR="00BB28F8" w:rsidRPr="00BB28F8">
        <w:t>Statische Investitionsrechnung</w:t>
      </w:r>
    </w:p>
    <w:p w:rsidR="00BB28F8" w:rsidRPr="00BB28F8" w:rsidRDefault="00BB28F8" w:rsidP="00EA6B40"/>
    <w:p w:rsidR="00DE41A7" w:rsidRPr="00EA6B40" w:rsidRDefault="00EA6B40" w:rsidP="00EA6B40">
      <w:pPr>
        <w:rPr>
          <w:u w:val="single"/>
        </w:rPr>
      </w:pPr>
      <w:r w:rsidRPr="00EA6B40">
        <w:rPr>
          <w:u w:val="single"/>
        </w:rPr>
        <w:t>Handlungssituation</w:t>
      </w:r>
    </w:p>
    <w:p w:rsidR="00DE41A7" w:rsidRPr="006610D4" w:rsidRDefault="00EA6B40" w:rsidP="00EA6B40">
      <w:bookmarkStart w:id="0" w:name="_GoBack"/>
      <w:bookmarkEnd w:id="0"/>
      <w:r>
        <w:rPr>
          <w:noProof/>
        </w:rPr>
        <w:t>D</w:t>
      </w:r>
      <w:proofErr w:type="spellStart"/>
      <w:r w:rsidR="00DE41A7" w:rsidRPr="006610D4">
        <w:t>ie</w:t>
      </w:r>
      <w:proofErr w:type="spellEnd"/>
      <w:r w:rsidR="00DE41A7" w:rsidRPr="006610D4">
        <w:t xml:space="preserve"> Designermöbel GmbH </w:t>
      </w:r>
      <w:r w:rsidR="00E71993">
        <w:t xml:space="preserve">plant </w:t>
      </w:r>
      <w:r w:rsidR="007D2921" w:rsidRPr="006610D4">
        <w:t xml:space="preserve">eine Kapazitätserweiterung vorzunehmen, um die </w:t>
      </w:r>
      <w:r w:rsidR="00E71993" w:rsidRPr="006610D4">
        <w:t>Relax Sessel</w:t>
      </w:r>
      <w:r w:rsidR="007D2921" w:rsidRPr="006610D4">
        <w:t xml:space="preserve"> zu produzieren. Dafür muss eine neue CNC</w:t>
      </w:r>
      <w:r w:rsidR="00CF119D">
        <w:t>-Fräse</w:t>
      </w:r>
      <w:r w:rsidR="007D2921" w:rsidRPr="006610D4">
        <w:t xml:space="preserve"> erwo</w:t>
      </w:r>
      <w:r w:rsidR="00DE41A7" w:rsidRPr="006610D4">
        <w:t>rben</w:t>
      </w:r>
      <w:r w:rsidR="007D2921" w:rsidRPr="006610D4">
        <w:t xml:space="preserve"> werden.</w:t>
      </w:r>
      <w:r w:rsidR="00DE41A7" w:rsidRPr="006610D4">
        <w:t xml:space="preserve"> Die finanziellen Mittel der Designermöbel GmbH sollen dabei optimal eingesetzt werden, um auch weiterhin am Markt wettbewerbsfähig bestehen zu können und die Gewinnchancen zu verbessern. </w:t>
      </w:r>
      <w:r w:rsidR="00253039" w:rsidRPr="006610D4">
        <w:t>In der Desig</w:t>
      </w:r>
      <w:r w:rsidR="003B0F35">
        <w:t>ner</w:t>
      </w:r>
      <w:r w:rsidR="00253039" w:rsidRPr="006610D4">
        <w:t>möbel GmbH liegen Daten</w:t>
      </w:r>
      <w:r w:rsidR="00E71993">
        <w:t xml:space="preserve"> aus der Kostenrechnung und dem Vertrieb</w:t>
      </w:r>
      <w:r w:rsidR="00253039" w:rsidRPr="006610D4">
        <w:t xml:space="preserve"> für zwei alternative CNC-Fräsen zur Auswahl vor. </w:t>
      </w:r>
      <w:r w:rsidR="00437E0F">
        <w:rPr>
          <w:color w:val="000000" w:themeColor="text1"/>
        </w:rPr>
        <w:t>Als Assistentin oder Assistent des Vorstands werden Sie beauftragt, die Investitionsalternativen anhand geeigneter statischer Verfahren der Investitionsrechnung zu beurteilen.</w:t>
      </w:r>
    </w:p>
    <w:p w:rsidR="007D2921" w:rsidRPr="006610D4" w:rsidRDefault="007D2921" w:rsidP="00EA6B40">
      <w:pPr>
        <w:pBdr>
          <w:top w:val="single" w:sz="8" w:space="1" w:color="auto"/>
          <w:left w:val="single" w:sz="8" w:space="4" w:color="auto"/>
          <w:bottom w:val="single" w:sz="8" w:space="1" w:color="auto"/>
          <w:right w:val="single" w:sz="8" w:space="4" w:color="auto"/>
        </w:pBdr>
      </w:pPr>
      <w:r w:rsidRPr="006610D4">
        <w:t>Info- Box</w:t>
      </w:r>
    </w:p>
    <w:p w:rsidR="00DE41A7" w:rsidRPr="006610D4" w:rsidRDefault="00DE41A7" w:rsidP="00EA6B40">
      <w:pPr>
        <w:pBdr>
          <w:top w:val="single" w:sz="8" w:space="1" w:color="auto"/>
          <w:left w:val="single" w:sz="8" w:space="4" w:color="auto"/>
          <w:bottom w:val="single" w:sz="8" w:space="1" w:color="auto"/>
          <w:right w:val="single" w:sz="8" w:space="4" w:color="auto"/>
        </w:pBdr>
      </w:pPr>
      <w:r w:rsidRPr="006610D4">
        <w:t>Die statischen Investitionsrechnungsverfahren wie die Kostenvergleichsrechnung und die Gewinnvergleichsrechnung beziehen sich auf eine ausgewählte Periode. Sie versuchen, die Vorteilhaftigkeit einer Investition zu ermitteln, indem sie die erwarteten Aufwendungen und Erträge bzw. Kosten und Leistungen des Investitionsobjektes bestimmen und auswerten. Weiterhin gibt es noch die Rentabilitätsrechnung, die das durchschnittlich eingesetzte Kapital ins Verhältnis zum Gewinn vor Zinsen setzt</w:t>
      </w:r>
      <w:r w:rsidR="00EA6B40">
        <w:t>,</w:t>
      </w:r>
      <w:r w:rsidRPr="006610D4">
        <w:t xml:space="preserve"> und die Amortisationsrechnung. Sie berechnet die Amortisationsdauer einer Investition</w:t>
      </w:r>
      <w:r w:rsidR="006610D4">
        <w:t>.</w:t>
      </w:r>
    </w:p>
    <w:p w:rsidR="00253039" w:rsidRPr="006610D4" w:rsidRDefault="00253039" w:rsidP="00EA6B40">
      <w:r w:rsidRPr="006610D4">
        <w:rPr>
          <w:rFonts w:ascii="Kristen ITC" w:hAnsi="Kristen ITC"/>
        </w:rPr>
        <w:sym w:font="Wingdings" w:char="F021"/>
      </w:r>
      <w:r w:rsidRPr="006610D4">
        <w:rPr>
          <w:rFonts w:ascii="Kristen ITC" w:hAnsi="Kristen ITC"/>
        </w:rPr>
        <w:sym w:font="Webdings" w:char="F0A4"/>
      </w:r>
      <w:r w:rsidRPr="006610D4">
        <w:rPr>
          <w:rFonts w:ascii="Kristen ITC" w:hAnsi="Kristen ITC"/>
        </w:rPr>
        <w:t xml:space="preserve"> </w:t>
      </w:r>
      <w:r w:rsidRPr="006610D4">
        <w:t>Arbeitsaufträge:</w:t>
      </w:r>
    </w:p>
    <w:p w:rsidR="00253039" w:rsidRPr="006610D4" w:rsidRDefault="00253039" w:rsidP="00EA6B40">
      <w:pPr>
        <w:pStyle w:val="Listenabsatz"/>
        <w:numPr>
          <w:ilvl w:val="0"/>
          <w:numId w:val="2"/>
        </w:numPr>
      </w:pPr>
      <w:r w:rsidRPr="006610D4">
        <w:t>Berechnen Sie die Kosten der beiden CNC Fräsen und die kritische Auslastung sowie den Gewinn.</w:t>
      </w:r>
    </w:p>
    <w:p w:rsidR="00573CAF" w:rsidRPr="006610D4" w:rsidRDefault="00573CAF" w:rsidP="00EA6B40">
      <w:pPr>
        <w:pStyle w:val="Listenabsatz"/>
        <w:numPr>
          <w:ilvl w:val="0"/>
          <w:numId w:val="2"/>
        </w:numPr>
      </w:pPr>
      <w:r w:rsidRPr="006610D4">
        <w:t>Ermitteln Sie die Rentabilität des eingesetzten Kapitals und die Amortisations</w:t>
      </w:r>
      <w:r w:rsidR="00973F32">
        <w:softHyphen/>
      </w:r>
      <w:r w:rsidRPr="006610D4">
        <w:t>dauer.</w:t>
      </w:r>
    </w:p>
    <w:p w:rsidR="009D1CE4" w:rsidRPr="006610D4" w:rsidRDefault="00373EA7" w:rsidP="00EA6B40">
      <w:pPr>
        <w:pStyle w:val="Listenabsatz"/>
        <w:numPr>
          <w:ilvl w:val="0"/>
          <w:numId w:val="2"/>
        </w:numPr>
      </w:pPr>
      <w:r w:rsidRPr="006610D4">
        <w:t>Werten Sie Ihre Ergebnisse aus.</w:t>
      </w:r>
    </w:p>
    <w:p w:rsidR="009D1CE4" w:rsidRPr="006610D4" w:rsidRDefault="009D1CE4" w:rsidP="00EA6B40">
      <w:pPr>
        <w:pStyle w:val="Listenabsatz"/>
        <w:numPr>
          <w:ilvl w:val="0"/>
          <w:numId w:val="2"/>
        </w:numPr>
      </w:pPr>
      <w:r w:rsidRPr="006610D4">
        <w:t xml:space="preserve">Erklären Sie welche qualitativen Aspekte bei dem Kauf </w:t>
      </w:r>
      <w:r w:rsidR="006610D4">
        <w:t>dieser</w:t>
      </w:r>
      <w:r w:rsidRPr="006610D4">
        <w:t xml:space="preserve"> neuen Maschine zu beachten sind.</w:t>
      </w:r>
    </w:p>
    <w:p w:rsidR="009D1CE4" w:rsidRPr="006610D4" w:rsidRDefault="009D1CE4" w:rsidP="00EA6B40"/>
    <w:tbl>
      <w:tblPr>
        <w:tblW w:w="9229" w:type="dxa"/>
        <w:tblLayout w:type="fixed"/>
        <w:tblCellMar>
          <w:left w:w="0" w:type="dxa"/>
          <w:right w:w="0" w:type="dxa"/>
        </w:tblCellMar>
        <w:tblLook w:val="0000" w:firstRow="0" w:lastRow="0" w:firstColumn="0" w:lastColumn="0" w:noHBand="0" w:noVBand="0"/>
      </w:tblPr>
      <w:tblGrid>
        <w:gridCol w:w="5955"/>
        <w:gridCol w:w="1637"/>
        <w:gridCol w:w="1637"/>
      </w:tblGrid>
      <w:tr w:rsidR="00DE41A7" w:rsidRPr="006610D4" w:rsidTr="002323F4">
        <w:trPr>
          <w:trHeight w:val="330"/>
        </w:trPr>
        <w:tc>
          <w:tcPr>
            <w:tcW w:w="5955" w:type="dxa"/>
            <w:tcBorders>
              <w:top w:val="nil"/>
              <w:left w:val="nil"/>
              <w:bottom w:val="single" w:sz="4" w:space="0" w:color="auto"/>
              <w:right w:val="nil"/>
            </w:tcBorders>
            <w:noWrap/>
            <w:tcMar>
              <w:top w:w="15" w:type="dxa"/>
              <w:left w:w="15" w:type="dxa"/>
              <w:bottom w:w="0" w:type="dxa"/>
              <w:right w:w="15" w:type="dxa"/>
            </w:tcMar>
            <w:vAlign w:val="bottom"/>
          </w:tcPr>
          <w:p w:rsidR="00DE41A7" w:rsidRPr="006610D4" w:rsidRDefault="00DE41A7" w:rsidP="00EA6B40">
            <w:pPr>
              <w:spacing w:after="0" w:line="300" w:lineRule="exact"/>
            </w:pPr>
          </w:p>
        </w:tc>
        <w:tc>
          <w:tcPr>
            <w:tcW w:w="1637" w:type="dxa"/>
            <w:tcBorders>
              <w:top w:val="nil"/>
              <w:left w:val="nil"/>
              <w:bottom w:val="single" w:sz="4" w:space="0" w:color="auto"/>
              <w:right w:val="nil"/>
            </w:tcBorders>
            <w:noWrap/>
            <w:tcMar>
              <w:top w:w="15" w:type="dxa"/>
              <w:left w:w="15" w:type="dxa"/>
              <w:bottom w:w="0" w:type="dxa"/>
              <w:right w:w="15" w:type="dxa"/>
            </w:tcMar>
            <w:vAlign w:val="bottom"/>
          </w:tcPr>
          <w:p w:rsidR="00DE41A7" w:rsidRPr="006610D4" w:rsidRDefault="00DE41A7" w:rsidP="00EA6B40">
            <w:pPr>
              <w:spacing w:after="0" w:line="300" w:lineRule="exact"/>
              <w:rPr>
                <w:lang w:val="it-IT"/>
              </w:rPr>
            </w:pPr>
            <w:r w:rsidRPr="006610D4">
              <w:rPr>
                <w:lang w:val="it-IT"/>
              </w:rPr>
              <w:t>CNC-</w:t>
            </w:r>
            <w:proofErr w:type="spellStart"/>
            <w:r w:rsidRPr="006610D4">
              <w:rPr>
                <w:lang w:val="it-IT"/>
              </w:rPr>
              <w:t>Fräse</w:t>
            </w:r>
            <w:proofErr w:type="spellEnd"/>
            <w:r w:rsidRPr="006610D4">
              <w:rPr>
                <w:lang w:val="it-IT"/>
              </w:rPr>
              <w:t xml:space="preserve"> I</w:t>
            </w:r>
          </w:p>
        </w:tc>
        <w:tc>
          <w:tcPr>
            <w:tcW w:w="1637" w:type="dxa"/>
            <w:tcBorders>
              <w:top w:val="nil"/>
              <w:left w:val="nil"/>
              <w:bottom w:val="single" w:sz="4" w:space="0" w:color="auto"/>
              <w:right w:val="nil"/>
            </w:tcBorders>
            <w:noWrap/>
            <w:tcMar>
              <w:top w:w="15" w:type="dxa"/>
              <w:left w:w="15" w:type="dxa"/>
              <w:bottom w:w="0" w:type="dxa"/>
              <w:right w:w="15" w:type="dxa"/>
            </w:tcMar>
            <w:vAlign w:val="bottom"/>
          </w:tcPr>
          <w:p w:rsidR="00DE41A7" w:rsidRPr="006610D4" w:rsidRDefault="00DE41A7" w:rsidP="00EA6B40">
            <w:pPr>
              <w:spacing w:after="0" w:line="300" w:lineRule="exact"/>
              <w:rPr>
                <w:lang w:val="fr-FR"/>
              </w:rPr>
            </w:pPr>
            <w:r w:rsidRPr="006610D4">
              <w:rPr>
                <w:lang w:val="fr-FR"/>
              </w:rPr>
              <w:t>CNC-</w:t>
            </w:r>
            <w:proofErr w:type="spellStart"/>
            <w:r w:rsidRPr="006610D4">
              <w:rPr>
                <w:lang w:val="fr-FR"/>
              </w:rPr>
              <w:t>Fräse</w:t>
            </w:r>
            <w:proofErr w:type="spellEnd"/>
            <w:r w:rsidRPr="006610D4">
              <w:rPr>
                <w:lang w:val="fr-FR"/>
              </w:rPr>
              <w:t xml:space="preserve"> II</w:t>
            </w:r>
          </w:p>
        </w:tc>
      </w:tr>
      <w:tr w:rsidR="00DE41A7" w:rsidRPr="006610D4" w:rsidTr="002323F4">
        <w:trPr>
          <w:trHeight w:val="315"/>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Ausgangsdaten</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 </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 </w:t>
            </w:r>
          </w:p>
        </w:tc>
      </w:tr>
      <w:tr w:rsidR="00DE41A7" w:rsidRPr="006610D4" w:rsidTr="002323F4">
        <w:trPr>
          <w:trHeight w:val="315"/>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Anschaffungskosten</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 xml:space="preserve">180.000,00 € </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 xml:space="preserve">240.000,00 € </w:t>
            </w:r>
          </w:p>
        </w:tc>
      </w:tr>
      <w:tr w:rsidR="00DE41A7" w:rsidRPr="006610D4" w:rsidTr="002323F4">
        <w:trPr>
          <w:trHeight w:val="315"/>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Nutzungsdauer (ND) in Jahren</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E41A7" w:rsidRPr="006610D4" w:rsidRDefault="00DE41A7" w:rsidP="00EA6B40">
            <w:pPr>
              <w:spacing w:after="0" w:line="300" w:lineRule="exact"/>
              <w:jc w:val="right"/>
            </w:pPr>
            <w:r w:rsidRPr="006610D4">
              <w:t>5</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E41A7" w:rsidRPr="006610D4" w:rsidRDefault="00DE41A7" w:rsidP="00EA6B40">
            <w:pPr>
              <w:spacing w:after="0" w:line="300" w:lineRule="exact"/>
              <w:jc w:val="right"/>
            </w:pPr>
            <w:r w:rsidRPr="006610D4">
              <w:t>6</w:t>
            </w:r>
          </w:p>
        </w:tc>
      </w:tr>
      <w:tr w:rsidR="00DE41A7" w:rsidRPr="006610D4" w:rsidTr="002323F4">
        <w:trPr>
          <w:trHeight w:val="315"/>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Restwert am Ende der ND</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20.000,00</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30.000,00</w:t>
            </w:r>
          </w:p>
        </w:tc>
      </w:tr>
      <w:tr w:rsidR="00DE41A7" w:rsidRPr="006610D4" w:rsidTr="002323F4">
        <w:trPr>
          <w:trHeight w:val="315"/>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Kalkulatorischer Zinssatz</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10</w:t>
            </w:r>
            <w:r w:rsidR="00EA6B40">
              <w:t xml:space="preserve"> </w:t>
            </w:r>
            <w:r w:rsidRPr="006610D4">
              <w:t>%</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10</w:t>
            </w:r>
            <w:r w:rsidR="00EA6B40">
              <w:t xml:space="preserve"> </w:t>
            </w:r>
            <w:r w:rsidRPr="006610D4">
              <w:t>%</w:t>
            </w:r>
          </w:p>
        </w:tc>
      </w:tr>
      <w:tr w:rsidR="00DE41A7" w:rsidRPr="006610D4" w:rsidTr="002323F4">
        <w:trPr>
          <w:trHeight w:val="315"/>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Kapazität</w:t>
            </w:r>
            <w:r w:rsidR="00EA6B40">
              <w:t>:</w:t>
            </w:r>
            <w:r w:rsidRPr="006610D4">
              <w:t xml:space="preserve">  Teile/Jahr</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50.000</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55.000</w:t>
            </w:r>
          </w:p>
        </w:tc>
      </w:tr>
      <w:tr w:rsidR="009D1CE4" w:rsidRPr="006610D4" w:rsidTr="002323F4">
        <w:trPr>
          <w:trHeight w:val="315"/>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9D1CE4" w:rsidRPr="006610D4" w:rsidRDefault="009D1CE4" w:rsidP="00EA6B40">
            <w:pPr>
              <w:spacing w:after="0" w:line="300" w:lineRule="exact"/>
            </w:pPr>
            <w:r w:rsidRPr="006610D4">
              <w:t>jährliche Produktion in Stück</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9D1CE4" w:rsidRPr="006610D4" w:rsidRDefault="009D1CE4" w:rsidP="00EA6B40">
            <w:pPr>
              <w:spacing w:after="0" w:line="300" w:lineRule="exact"/>
              <w:jc w:val="right"/>
            </w:pPr>
            <w:r w:rsidRPr="006610D4">
              <w:t>45.000</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9D1CE4" w:rsidRPr="006610D4" w:rsidRDefault="009D1CE4" w:rsidP="00EA6B40">
            <w:pPr>
              <w:spacing w:after="0" w:line="300" w:lineRule="exact"/>
              <w:jc w:val="right"/>
            </w:pPr>
            <w:r w:rsidRPr="006610D4">
              <w:t>45.000</w:t>
            </w:r>
          </w:p>
        </w:tc>
      </w:tr>
      <w:tr w:rsidR="00DE41A7" w:rsidRPr="006610D4" w:rsidTr="002323F4">
        <w:trPr>
          <w:trHeight w:val="315"/>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Lohnkosten/</w:t>
            </w:r>
            <w:proofErr w:type="spellStart"/>
            <w:r w:rsidRPr="006610D4">
              <w:t>Frästeil</w:t>
            </w:r>
            <w:proofErr w:type="spellEnd"/>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2,00 €</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1,80 €</w:t>
            </w:r>
          </w:p>
        </w:tc>
      </w:tr>
      <w:tr w:rsidR="00DE41A7" w:rsidRPr="006610D4" w:rsidTr="002323F4">
        <w:trPr>
          <w:trHeight w:val="315"/>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Materialkosten/</w:t>
            </w:r>
            <w:proofErr w:type="spellStart"/>
            <w:r w:rsidRPr="006610D4">
              <w:t>Frästeil</w:t>
            </w:r>
            <w:proofErr w:type="spellEnd"/>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1,80 €</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1,90 €</w:t>
            </w:r>
          </w:p>
        </w:tc>
      </w:tr>
      <w:tr w:rsidR="00DE41A7" w:rsidRPr="006610D4" w:rsidTr="002323F4">
        <w:trPr>
          <w:trHeight w:val="315"/>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sonstige variable Kosten/</w:t>
            </w:r>
            <w:proofErr w:type="spellStart"/>
            <w:r w:rsidRPr="006610D4">
              <w:t>Frästeil</w:t>
            </w:r>
            <w:proofErr w:type="spellEnd"/>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0,70 €</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0,40 €</w:t>
            </w:r>
          </w:p>
        </w:tc>
      </w:tr>
      <w:tr w:rsidR="00DE41A7" w:rsidRPr="006610D4" w:rsidTr="002323F4">
        <w:trPr>
          <w:trHeight w:val="315"/>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Sonstige fixe Kosten (ohne Abschreibungen) pro Jahr</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 xml:space="preserve">25.000,00 € </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jc w:val="right"/>
            </w:pPr>
            <w:r w:rsidRPr="006610D4">
              <w:t xml:space="preserve">28.000,00 € </w:t>
            </w:r>
          </w:p>
        </w:tc>
      </w:tr>
      <w:tr w:rsidR="00DE41A7" w:rsidRPr="006610D4" w:rsidTr="002323F4">
        <w:trPr>
          <w:trHeight w:val="330"/>
        </w:trPr>
        <w:tc>
          <w:tcPr>
            <w:tcW w:w="59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DE41A7" w:rsidP="00EA6B40">
            <w:pPr>
              <w:spacing w:after="0" w:line="300" w:lineRule="exact"/>
            </w:pPr>
            <w:r w:rsidRPr="006610D4">
              <w:t>Verkaufserlös pro Stück</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E22372" w:rsidP="00EA6B40">
            <w:pPr>
              <w:spacing w:after="0" w:line="300" w:lineRule="exact"/>
              <w:jc w:val="right"/>
            </w:pPr>
            <w:r w:rsidRPr="006610D4">
              <w:t>8,00</w:t>
            </w:r>
            <w:r w:rsidR="00DE41A7" w:rsidRPr="006610D4">
              <w:t xml:space="preserve"> € </w:t>
            </w:r>
          </w:p>
        </w:tc>
        <w:tc>
          <w:tcPr>
            <w:tcW w:w="163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1A7" w:rsidRPr="006610D4" w:rsidRDefault="00E22372" w:rsidP="00EA6B40">
            <w:pPr>
              <w:spacing w:after="0" w:line="300" w:lineRule="exact"/>
              <w:jc w:val="right"/>
            </w:pPr>
            <w:r w:rsidRPr="006610D4">
              <w:t>8,60</w:t>
            </w:r>
            <w:r w:rsidR="00DE41A7" w:rsidRPr="006610D4">
              <w:t xml:space="preserve"> € </w:t>
            </w:r>
          </w:p>
        </w:tc>
      </w:tr>
    </w:tbl>
    <w:p w:rsidR="00E71993" w:rsidRDefault="00E71993" w:rsidP="00EA6B40"/>
    <w:p w:rsidR="00E71993" w:rsidRDefault="00E71993">
      <w:pPr>
        <w:spacing w:after="0"/>
      </w:pPr>
      <w:r>
        <w:br w:type="page"/>
      </w:r>
    </w:p>
    <w:p w:rsidR="00DE41A7" w:rsidRPr="006610D4" w:rsidRDefault="00DE41A7" w:rsidP="00EA6B40"/>
    <w:p w:rsidR="00DE41A7" w:rsidRPr="006610D4" w:rsidRDefault="009D1CE4" w:rsidP="00EA6B40">
      <w:r w:rsidRPr="006610D4">
        <w:t>Informationen und Hinweise</w:t>
      </w:r>
      <w:r w:rsidR="00DE41A7" w:rsidRPr="006610D4">
        <w:t>:</w:t>
      </w:r>
    </w:p>
    <w:p w:rsidR="00DE41A7" w:rsidRPr="006610D4" w:rsidRDefault="00DE41A7" w:rsidP="00EA6B40">
      <w:pPr>
        <w:pStyle w:val="Listenabsatz"/>
        <w:numPr>
          <w:ilvl w:val="0"/>
          <w:numId w:val="1"/>
        </w:numPr>
      </w:pPr>
      <w:r w:rsidRPr="006610D4">
        <w:t xml:space="preserve">Kostenvergleichsrechnung. Berücksichtigen Sie: </w:t>
      </w:r>
      <w:r w:rsidRPr="006610D4">
        <w:tab/>
      </w:r>
    </w:p>
    <w:tbl>
      <w:tblPr>
        <w:tblW w:w="0" w:type="auto"/>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tblGrid>
      <w:tr w:rsidR="00DE41A7" w:rsidRPr="006610D4" w:rsidTr="002323F4">
        <w:tc>
          <w:tcPr>
            <w:tcW w:w="3544" w:type="dxa"/>
          </w:tcPr>
          <w:p w:rsidR="00DE41A7" w:rsidRPr="006610D4" w:rsidRDefault="00DE41A7" w:rsidP="00EA6B40">
            <w:r w:rsidRPr="006610D4">
              <w:t>Abschreibungen</w:t>
            </w:r>
          </w:p>
        </w:tc>
      </w:tr>
      <w:tr w:rsidR="00DE41A7" w:rsidRPr="006610D4" w:rsidTr="002323F4">
        <w:tc>
          <w:tcPr>
            <w:tcW w:w="3544" w:type="dxa"/>
          </w:tcPr>
          <w:p w:rsidR="00DE41A7" w:rsidRPr="006610D4" w:rsidRDefault="00DE41A7" w:rsidP="00EA6B40">
            <w:r w:rsidRPr="006610D4">
              <w:t>+ Zinsen</w:t>
            </w:r>
          </w:p>
        </w:tc>
      </w:tr>
      <w:tr w:rsidR="00DE41A7" w:rsidRPr="006610D4" w:rsidTr="002323F4">
        <w:tc>
          <w:tcPr>
            <w:tcW w:w="3544" w:type="dxa"/>
          </w:tcPr>
          <w:p w:rsidR="00DE41A7" w:rsidRPr="006610D4" w:rsidRDefault="00DE41A7" w:rsidP="00EA6B40">
            <w:r w:rsidRPr="006610D4">
              <w:t>+ sonstigen fixen Kosten</w:t>
            </w:r>
          </w:p>
        </w:tc>
      </w:tr>
      <w:tr w:rsidR="00DE41A7" w:rsidRPr="006610D4" w:rsidTr="002323F4">
        <w:tc>
          <w:tcPr>
            <w:tcW w:w="3544" w:type="dxa"/>
          </w:tcPr>
          <w:p w:rsidR="00DE41A7" w:rsidRPr="006610D4" w:rsidRDefault="00DE41A7" w:rsidP="00EA6B40">
            <w:r w:rsidRPr="006610D4">
              <w:t>= Fixe Kosten gesamt</w:t>
            </w:r>
          </w:p>
        </w:tc>
      </w:tr>
      <w:tr w:rsidR="00DE41A7" w:rsidRPr="006610D4" w:rsidTr="002323F4">
        <w:tc>
          <w:tcPr>
            <w:tcW w:w="3544" w:type="dxa"/>
          </w:tcPr>
          <w:p w:rsidR="00DE41A7" w:rsidRPr="006610D4" w:rsidRDefault="00DE41A7" w:rsidP="00EA6B40">
            <w:r w:rsidRPr="006610D4">
              <w:t>+ variablen Kosten gesamt</w:t>
            </w:r>
          </w:p>
        </w:tc>
      </w:tr>
      <w:tr w:rsidR="00DE41A7" w:rsidRPr="006610D4" w:rsidTr="002323F4">
        <w:tc>
          <w:tcPr>
            <w:tcW w:w="3544" w:type="dxa"/>
          </w:tcPr>
          <w:p w:rsidR="00DE41A7" w:rsidRPr="006610D4" w:rsidRDefault="00DE41A7" w:rsidP="00EA6B40">
            <w:r w:rsidRPr="006610D4">
              <w:t>= Gesamtkosten</w:t>
            </w:r>
          </w:p>
        </w:tc>
      </w:tr>
    </w:tbl>
    <w:p w:rsidR="00DE41A7" w:rsidRPr="006610D4" w:rsidRDefault="00DE41A7" w:rsidP="00EA6B40">
      <w:pPr>
        <w:pStyle w:val="Textkrper-Zeileneinzug"/>
      </w:pPr>
    </w:p>
    <w:p w:rsidR="00DE41A7" w:rsidRPr="006610D4" w:rsidRDefault="00DE41A7" w:rsidP="00EA6B40">
      <w:pPr>
        <w:pStyle w:val="Textkrper-Zeileneinzug"/>
      </w:pPr>
      <w:r w:rsidRPr="006610D4">
        <w:t xml:space="preserve">Aus Vereinfachungsgründen gehen wir </w:t>
      </w:r>
      <w:r w:rsidR="00EA6B40">
        <w:t xml:space="preserve">zunächst </w:t>
      </w:r>
      <w:r w:rsidRPr="006610D4">
        <w:t xml:space="preserve">davon aus, dass der Anschaffungswert dem Wiederbeschaffungswert entspricht. Der Restwert muss bei der Berechnung der Abschreibungen (a) berücksichtigt werden, es gilt die Formel:  </w:t>
      </w:r>
      <w:r w:rsidR="00DE4CBA" w:rsidRPr="00692EB4">
        <w:rPr>
          <w:noProof/>
          <w:position w:val="-24"/>
        </w:rPr>
        <w:object w:dxaOrig="15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75.7pt;height:31.05pt;mso-width-percent:0;mso-height-percent:0;mso-width-percent:0;mso-height-percent:0" o:ole="">
            <v:imagedata r:id="rId8" o:title=""/>
          </v:shape>
          <o:OLEObject Type="Embed" ProgID="Equation.3" ShapeID="_x0000_i1028" DrawAspect="Content" ObjectID="_1677684824" r:id="rId9"/>
        </w:object>
      </w:r>
    </w:p>
    <w:p w:rsidR="00DE41A7" w:rsidRPr="006610D4" w:rsidRDefault="00DE41A7" w:rsidP="00EA6B40">
      <w:pPr>
        <w:pStyle w:val="Textkrper-Zeileneinzug"/>
      </w:pPr>
      <w:r w:rsidRPr="006610D4">
        <w:br/>
        <w:t xml:space="preserve">Für die Berechnung der Zinsen müssen Sie das durchschnittlich gebundene Kapital ermitteln, </w:t>
      </w:r>
      <w:r w:rsidR="00DE4CBA" w:rsidRPr="00692EB4">
        <w:rPr>
          <w:noProof/>
          <w:position w:val="-24"/>
        </w:rPr>
        <w:object w:dxaOrig="1140" w:dyaOrig="620">
          <v:shape id="_x0000_i1027" type="#_x0000_t75" alt="" style="width:56.5pt;height:31.05pt;mso-width-percent:0;mso-height-percent:0;mso-width-percent:0;mso-height-percent:0" o:ole="">
            <v:imagedata r:id="rId10" o:title=""/>
          </v:shape>
          <o:OLEObject Type="Embed" ProgID="Equation.3" ShapeID="_x0000_i1027" DrawAspect="Content" ObjectID="_1677684825" r:id="rId11"/>
        </w:object>
      </w:r>
      <w:r w:rsidRPr="006610D4">
        <w:t xml:space="preserve">, dieses wird mit dem Kalkulationszinssatz multipliziert. </w:t>
      </w:r>
    </w:p>
    <w:p w:rsidR="00DE41A7" w:rsidRPr="006610D4" w:rsidRDefault="00DE41A7" w:rsidP="00EA6B40">
      <w:pPr>
        <w:pStyle w:val="Textkrper-Zeileneinzug"/>
      </w:pPr>
    </w:p>
    <w:p w:rsidR="009D1CE4" w:rsidRPr="006610D4" w:rsidRDefault="00DE41A7" w:rsidP="00EA6B40">
      <w:pPr>
        <w:pStyle w:val="Listenabsatz"/>
        <w:numPr>
          <w:ilvl w:val="0"/>
          <w:numId w:val="1"/>
        </w:numPr>
      </w:pPr>
      <w:r w:rsidRPr="006610D4">
        <w:t xml:space="preserve">Kritische Auslastung: </w:t>
      </w:r>
      <w:r w:rsidRPr="006610D4">
        <w:tab/>
      </w:r>
      <w:r w:rsidRPr="006610D4">
        <w:br/>
        <w:t>Die hier unterstellte jährliche Leistung der CNC-Fräse von 45.000 Teilen stellt nur einen Schätzwert dar. Insofern ist es für die Designermöbel GmbH be</w:t>
      </w:r>
      <w:r w:rsidRPr="006610D4">
        <w:softHyphen/>
        <w:t xml:space="preserve">deutsam, zu erfahren, ab welcher Menge an Frästeilen die andere CNC-Fräse kostengünstiger wird als die bei 1. berechnete. </w:t>
      </w:r>
    </w:p>
    <w:p w:rsidR="009D1CE4" w:rsidRPr="006610D4" w:rsidRDefault="009D1CE4" w:rsidP="00EA6B40"/>
    <w:p w:rsidR="00DE41A7" w:rsidRPr="006610D4" w:rsidRDefault="00DE41A7" w:rsidP="00EA6B40">
      <w:r w:rsidRPr="006610D4">
        <w:t xml:space="preserve">Formel zur Berechnung der Kosten = </w:t>
      </w:r>
      <w:proofErr w:type="spellStart"/>
      <w:r w:rsidRPr="006610D4">
        <w:t>Kf</w:t>
      </w:r>
      <w:proofErr w:type="spellEnd"/>
      <w:r w:rsidRPr="006610D4">
        <w:t xml:space="preserve"> + </w:t>
      </w:r>
      <w:proofErr w:type="spellStart"/>
      <w:r w:rsidRPr="006610D4">
        <w:t>kv</w:t>
      </w:r>
      <w:proofErr w:type="spellEnd"/>
      <w:r w:rsidRPr="006610D4">
        <w:t xml:space="preserve"> * x</w:t>
      </w:r>
    </w:p>
    <w:p w:rsidR="00DE41A7" w:rsidRPr="006610D4" w:rsidRDefault="00DE41A7" w:rsidP="00EA6B40"/>
    <w:p w:rsidR="009D1CE4" w:rsidRPr="006610D4" w:rsidRDefault="00DE41A7" w:rsidP="00EA6B40">
      <w:pPr>
        <w:pStyle w:val="Listenabsatz"/>
        <w:numPr>
          <w:ilvl w:val="0"/>
          <w:numId w:val="1"/>
        </w:numPr>
      </w:pPr>
      <w:r w:rsidRPr="006610D4">
        <w:t>Gewinnvergleichsrechnung</w:t>
      </w:r>
      <w:r w:rsidRPr="006610D4">
        <w:tab/>
      </w:r>
      <w:r w:rsidRPr="006610D4">
        <w:br/>
        <w:t>Die Gewinnvergleichsrechnung stellt eine Erweiterung der Kostenvergleichsrechnung dar, da sie neben den Kosten auch noch die den Investitionsobjekten zuzurechnenden Erträge be</w:t>
      </w:r>
      <w:r w:rsidRPr="006610D4">
        <w:softHyphen/>
        <w:t xml:space="preserve">rücksichtigt. </w:t>
      </w:r>
      <w:r w:rsidR="009D1CE4" w:rsidRPr="006610D4">
        <w:t>Hierfür müssen die zu erwartenden Umsätze berechnet werden.</w:t>
      </w:r>
    </w:p>
    <w:p w:rsidR="009D1CE4" w:rsidRPr="006610D4" w:rsidRDefault="009D1CE4" w:rsidP="00EA6B40"/>
    <w:p w:rsidR="009D1CE4" w:rsidRPr="006610D4" w:rsidRDefault="00DE41A7" w:rsidP="00EA6B40">
      <w:pPr>
        <w:pStyle w:val="Listenabsatz"/>
        <w:numPr>
          <w:ilvl w:val="0"/>
          <w:numId w:val="1"/>
        </w:numPr>
      </w:pPr>
      <w:r w:rsidRPr="006610D4">
        <w:t xml:space="preserve">Rentabilitätsvergleichsrechnung: </w:t>
      </w:r>
      <w:r w:rsidRPr="006610D4">
        <w:br/>
        <w:t>Bei der Gewinnvergleichsrechnung wird die absolute Gewinnhöhe als Maß</w:t>
      </w:r>
      <w:r w:rsidRPr="006610D4">
        <w:softHyphen/>
        <w:t>stab genommen, um zu beurteilen, ob eine Investition vorteilhaft ist oder wel</w:t>
      </w:r>
      <w:r w:rsidRPr="006610D4">
        <w:softHyphen/>
        <w:t>ches der alternativen Investitionsobjekte vorzuziehen ist. Wenn beispielsweise die eingesetzten Kapitalien stark voneinander abweichen, ist das Kriterium der absoluten Gewinnhöhe nicht ausreichend. Wichtig ist dann der relative Ge</w:t>
      </w:r>
      <w:r w:rsidRPr="006610D4">
        <w:softHyphen/>
        <w:t>winn, d. h. der absolute Gewinn muss in Relation zum eingesetzten Kapital gesetzt werden:</w:t>
      </w:r>
    </w:p>
    <w:p w:rsidR="009D1CE4" w:rsidRPr="006610D4" w:rsidRDefault="00DE41A7" w:rsidP="00EA6B40">
      <w:r w:rsidRPr="006610D4">
        <w:lastRenderedPageBreak/>
        <w:t xml:space="preserve"> Rentabilität des eingesetzten Kapitals=</w:t>
      </w:r>
      <w:r w:rsidRPr="006610D4">
        <w:tab/>
        <w:t xml:space="preserve"> </w:t>
      </w:r>
      <w:r w:rsidR="00DE4CBA" w:rsidRPr="006610D4">
        <w:rPr>
          <w:noProof/>
          <w:position w:val="-28"/>
        </w:rPr>
        <w:object w:dxaOrig="3980" w:dyaOrig="660">
          <v:shape id="_x0000_i1026" type="#_x0000_t75" alt="" style="width:198.6pt;height:32.9pt;mso-width-percent:0;mso-height-percent:0;mso-width-percent:0;mso-height-percent:0" o:ole="">
            <v:imagedata r:id="rId12" o:title=""/>
          </v:shape>
          <o:OLEObject Type="Embed" ProgID="Equation.3" ShapeID="_x0000_i1026" DrawAspect="Content" ObjectID="_1677684826" r:id="rId13"/>
        </w:object>
      </w:r>
      <w:r w:rsidRPr="006610D4">
        <w:br/>
      </w:r>
    </w:p>
    <w:p w:rsidR="00DE41A7" w:rsidRPr="006610D4" w:rsidRDefault="00DE41A7" w:rsidP="00EA6B40">
      <w:r w:rsidRPr="006610D4">
        <w:t xml:space="preserve">Die kalkulatorischen Zinsen werden nicht wie bei den anderen Verfahren als Kostenbestandteil berücksichtigt, da die ermittelte Rentabilitätskennzahl die Verzinsung des insgesamt eingesetzten Kapitals ausdrückt. </w:t>
      </w:r>
    </w:p>
    <w:p w:rsidR="00DE41A7" w:rsidRPr="006610D4" w:rsidRDefault="00DE41A7" w:rsidP="00EA6B40"/>
    <w:p w:rsidR="005A6943" w:rsidRPr="006610D4" w:rsidRDefault="00DE41A7" w:rsidP="00EA6B40">
      <w:pPr>
        <w:pStyle w:val="Listenabsatz"/>
        <w:numPr>
          <w:ilvl w:val="0"/>
          <w:numId w:val="1"/>
        </w:numPr>
      </w:pPr>
      <w:r w:rsidRPr="006610D4">
        <w:t xml:space="preserve">Amortisationsvergleichsrechnung: </w:t>
      </w:r>
      <w:r w:rsidRPr="006610D4">
        <w:br/>
        <w:t>Die bisherigen Verfahren der Investitionsrechnung gaben Aufschluss über die Höhe der Kosten, der Gewinne oder der Rentabilität eines eingesetzten Kapi</w:t>
      </w:r>
      <w:r w:rsidRPr="006610D4">
        <w:softHyphen/>
        <w:t>tals. Unbeachtet bleibt allerdings die Frage, in welchem Zeitraum sich eine In</w:t>
      </w:r>
      <w:r w:rsidRPr="006610D4">
        <w:softHyphen/>
        <w:t xml:space="preserve">vestition amortisiert, d.h. in welcher Zeit der Kapitaleinsatz durch Rückflüsse </w:t>
      </w:r>
      <w:r w:rsidR="00692EB4" w:rsidRPr="006610D4">
        <w:t>wiedergewonnen</w:t>
      </w:r>
      <w:r w:rsidRPr="006610D4">
        <w:t xml:space="preserve"> werden kann. Als Rückflüsse sind hier neben dem durch</w:t>
      </w:r>
      <w:r w:rsidRPr="006610D4">
        <w:softHyphen/>
        <w:t>schnittlichen Gewinn (DG) auch die Abschreibungen (AfA) zu berücksichtigen. Da die Abschreibungen als Aufwendungen in die Preise der verkauften Fertig</w:t>
      </w:r>
      <w:r w:rsidRPr="006610D4">
        <w:softHyphen/>
        <w:t>erzeugnisse eingehen, fließt der Anschaffungswert (AW) abzüglich dem Rest</w:t>
      </w:r>
      <w:r w:rsidRPr="006610D4">
        <w:softHyphen/>
        <w:t xml:space="preserve">wert (RW) auf diese Weise zum Unternehmen zurück. </w:t>
      </w:r>
    </w:p>
    <w:p w:rsidR="00DE41A7" w:rsidRPr="006610D4" w:rsidRDefault="00DE41A7" w:rsidP="00EA6B40">
      <w:r w:rsidRPr="006610D4">
        <w:t xml:space="preserve">Formel:  </w:t>
      </w:r>
      <w:r w:rsidR="00DE4CBA" w:rsidRPr="006610D4">
        <w:rPr>
          <w:noProof/>
          <w:position w:val="-28"/>
        </w:rPr>
        <w:object w:dxaOrig="1600" w:dyaOrig="660">
          <v:shape id="_x0000_i1025" type="#_x0000_t75" alt="" style="width:80.05pt;height:32.9pt;mso-width-percent:0;mso-height-percent:0;mso-width-percent:0;mso-height-percent:0" o:ole="">
            <v:imagedata r:id="rId14" o:title=""/>
          </v:shape>
          <o:OLEObject Type="Embed" ProgID="Equation.3" ShapeID="_x0000_i1025" DrawAspect="Content" ObjectID="_1677684827" r:id="rId15"/>
        </w:object>
      </w:r>
    </w:p>
    <w:p w:rsidR="00692EB4" w:rsidRDefault="00692EB4" w:rsidP="00EA6B40">
      <w:pPr>
        <w:sectPr w:rsidR="00692EB4" w:rsidSect="002D6072">
          <w:headerReference w:type="even" r:id="rId16"/>
          <w:headerReference w:type="default" r:id="rId17"/>
          <w:footerReference w:type="even" r:id="rId18"/>
          <w:footerReference w:type="default" r:id="rId19"/>
          <w:pgSz w:w="11906" w:h="16838"/>
          <w:pgMar w:top="1417" w:right="1417" w:bottom="1134" w:left="1417" w:header="708" w:footer="708" w:gutter="0"/>
          <w:cols w:space="708"/>
          <w:docGrid w:linePitch="360"/>
        </w:sectPr>
      </w:pPr>
    </w:p>
    <w:p w:rsidR="000C6D1B" w:rsidRPr="00692EB4" w:rsidRDefault="000C6D1B" w:rsidP="000C6D1B">
      <w:pPr>
        <w:jc w:val="center"/>
      </w:pPr>
      <w:r w:rsidRPr="00692EB4">
        <w:lastRenderedPageBreak/>
        <w:t>Lösungsblatt</w:t>
      </w:r>
      <w:r w:rsidR="00E71993" w:rsidRPr="00E71993">
        <w:rPr>
          <w:vertAlign w:val="superscript"/>
        </w:rPr>
        <w:t>1)</w:t>
      </w:r>
      <w:r w:rsidR="00E71993">
        <w:rPr>
          <w:vertAlign w:val="superscript"/>
        </w:rPr>
        <w:t xml:space="preserve"> </w:t>
      </w:r>
      <w:r w:rsidR="00E71993" w:rsidRPr="00E71993">
        <w:t>für die Aufgaben 1 und 2</w:t>
      </w:r>
    </w:p>
    <w:tbl>
      <w:tblPr>
        <w:tblW w:w="9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2240"/>
        <w:gridCol w:w="2315"/>
        <w:gridCol w:w="7"/>
      </w:tblGrid>
      <w:tr w:rsidR="00973F32" w:rsidTr="00C07433">
        <w:tc>
          <w:tcPr>
            <w:tcW w:w="9093" w:type="dxa"/>
            <w:gridSpan w:val="4"/>
            <w:shd w:val="pct5" w:color="auto" w:fill="auto"/>
          </w:tcPr>
          <w:p w:rsidR="00973F32" w:rsidRDefault="00973F32" w:rsidP="00C07433">
            <w:r>
              <w:tab/>
              <w:t>Statische Investitionsrechnungen</w:t>
            </w:r>
          </w:p>
        </w:tc>
      </w:tr>
      <w:tr w:rsidR="00973F32" w:rsidTr="00C07433">
        <w:trPr>
          <w:gridAfter w:val="1"/>
          <w:wAfter w:w="7" w:type="dxa"/>
        </w:trPr>
        <w:tc>
          <w:tcPr>
            <w:tcW w:w="4531" w:type="dxa"/>
            <w:shd w:val="pct5" w:color="auto" w:fill="auto"/>
          </w:tcPr>
          <w:p w:rsidR="00973F32" w:rsidRDefault="00973F32" w:rsidP="00C07433">
            <w:r>
              <w:t>1. Kostenvergleichsrechnung</w:t>
            </w:r>
          </w:p>
        </w:tc>
        <w:tc>
          <w:tcPr>
            <w:tcW w:w="2240" w:type="dxa"/>
            <w:shd w:val="clear" w:color="auto" w:fill="auto"/>
          </w:tcPr>
          <w:p w:rsidR="00973F32" w:rsidRDefault="00973F32" w:rsidP="00C07433">
            <w:pPr>
              <w:jc w:val="center"/>
            </w:pPr>
            <w:r>
              <w:t xml:space="preserve">CNC-Fräse </w:t>
            </w:r>
            <w:r w:rsidR="001F31FC">
              <w:t>I</w:t>
            </w:r>
          </w:p>
        </w:tc>
        <w:tc>
          <w:tcPr>
            <w:tcW w:w="2315" w:type="dxa"/>
            <w:shd w:val="clear" w:color="auto" w:fill="auto"/>
          </w:tcPr>
          <w:p w:rsidR="00973F32" w:rsidRDefault="00973F32" w:rsidP="00C07433">
            <w:pPr>
              <w:jc w:val="center"/>
            </w:pPr>
            <w:r>
              <w:t>CN</w:t>
            </w:r>
            <w:r w:rsidR="00423997">
              <w:t>C</w:t>
            </w:r>
            <w:r>
              <w:t xml:space="preserve">-Fräse </w:t>
            </w:r>
            <w:r w:rsidR="001F31FC">
              <w:t>II</w:t>
            </w:r>
          </w:p>
        </w:tc>
      </w:tr>
      <w:tr w:rsidR="00973F32" w:rsidTr="00C07433">
        <w:trPr>
          <w:gridAfter w:val="1"/>
          <w:wAfter w:w="7" w:type="dxa"/>
        </w:trPr>
        <w:tc>
          <w:tcPr>
            <w:tcW w:w="4531" w:type="dxa"/>
            <w:shd w:val="clear" w:color="auto" w:fill="auto"/>
          </w:tcPr>
          <w:p w:rsidR="00973F32" w:rsidRPr="00692EB4" w:rsidRDefault="00973F32" w:rsidP="00C07433">
            <w:r w:rsidRPr="00692EB4">
              <w:t>kalkulatorische Abschreibungen</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Pr="00692EB4" w:rsidRDefault="00973F32" w:rsidP="00C07433">
            <w:r w:rsidRPr="00692EB4">
              <w:t xml:space="preserve">+ kalkulatorische </w:t>
            </w:r>
            <w:r>
              <w:t>Zinsen</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Pr="00692EB4" w:rsidRDefault="00973F32" w:rsidP="00C07433">
            <w:r w:rsidRPr="00692EB4">
              <w:t xml:space="preserve">+ </w:t>
            </w:r>
            <w:r>
              <w:t xml:space="preserve">sonstige fixe Kosten (ohne </w:t>
            </w:r>
            <w:proofErr w:type="spellStart"/>
            <w:r>
              <w:t>Abschreib</w:t>
            </w:r>
            <w:proofErr w:type="spellEnd"/>
            <w:r>
              <w:t>.)</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Pr="00692EB4" w:rsidRDefault="00973F32" w:rsidP="00C07433">
            <w:r>
              <w:t>= fixe Kosten</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Pr="00692EB4" w:rsidRDefault="00973F32" w:rsidP="00C07433">
            <w:r>
              <w:t>Fertigungsmaterial</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 Fertigungslöhne</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 sonstige variable Kosten</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 variable Kosten</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 Gesamtkosten</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Kostendifferenz</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tcBorders>
              <w:bottom w:val="single" w:sz="4" w:space="0" w:color="auto"/>
            </w:tcBorders>
            <w:shd w:val="pct5" w:color="auto" w:fill="auto"/>
          </w:tcPr>
          <w:p w:rsidR="00973F32" w:rsidRDefault="00973F32" w:rsidP="00C07433">
            <w:r>
              <w:t>2. Kritische Auslastung Kostenvergleich</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r>
              <w:t>Kf1 + kv1 * x = Kf2 + kv2*x</w:t>
            </w:r>
          </w:p>
        </w:tc>
        <w:tc>
          <w:tcPr>
            <w:tcW w:w="4555" w:type="dxa"/>
            <w:gridSpan w:val="2"/>
            <w:shd w:val="clear" w:color="auto" w:fill="auto"/>
          </w:tcPr>
          <w:p w:rsidR="00973F32" w:rsidRDefault="00973F32" w:rsidP="00C07433"/>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tc>
        <w:tc>
          <w:tcPr>
            <w:tcW w:w="4555" w:type="dxa"/>
            <w:gridSpan w:val="2"/>
            <w:shd w:val="clear" w:color="auto" w:fill="auto"/>
          </w:tcPr>
          <w:p w:rsidR="00973F32" w:rsidRDefault="00973F32" w:rsidP="00C07433"/>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pct5" w:color="auto" w:fill="auto"/>
          </w:tcPr>
          <w:p w:rsidR="00973F32" w:rsidRPr="00692EB4" w:rsidRDefault="00973F32" w:rsidP="00C07433">
            <w:r>
              <w:t xml:space="preserve">3. </w:t>
            </w:r>
            <w:r w:rsidRPr="00692EB4">
              <w:t>Gewinnvergleichsrechnung</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Jahreserlös</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pPr>
              <w:pStyle w:val="Listenabsatz"/>
              <w:numPr>
                <w:ilvl w:val="0"/>
                <w:numId w:val="5"/>
              </w:numPr>
            </w:pPr>
            <w:r>
              <w:t>Gesamtkosten</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 Stückgewinn</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pct5" w:color="auto" w:fill="auto"/>
          </w:tcPr>
          <w:p w:rsidR="00973F32" w:rsidRDefault="00973F32" w:rsidP="00C07433">
            <w:r>
              <w:t>4. Rentabilitätsvergleichsrechnung</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Gewinn + kalkulatorische Zinsen</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 durchschnittlich gebundenes Kapital</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 Rentabilität in %</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pct5" w:color="auto" w:fill="auto"/>
          </w:tcPr>
          <w:p w:rsidR="00973F32" w:rsidRDefault="00973F32" w:rsidP="00C07433">
            <w:r>
              <w:t>5. Amortisationsvergleichsrechnung</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Anschaffungskosten - Restwert</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 Gewinn + Abschreibungen</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 Amortisation in Jahren</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bl>
    <w:p w:rsidR="00973F32" w:rsidRPr="00E71993" w:rsidRDefault="00E71993" w:rsidP="00973F32">
      <w:pPr>
        <w:rPr>
          <w:b w:val="0"/>
          <w:sz w:val="20"/>
          <w:szCs w:val="20"/>
        </w:rPr>
      </w:pPr>
      <w:r>
        <w:t>1</w:t>
      </w:r>
      <w:r w:rsidRPr="00E71993">
        <w:rPr>
          <w:b w:val="0"/>
          <w:sz w:val="20"/>
          <w:szCs w:val="20"/>
        </w:rPr>
        <w:t xml:space="preserve">) Das Lösungsblatt ist in Anlehnung an das Schema im Arbeitsheft „Investition und Finanzierung“ von Herrn </w:t>
      </w:r>
      <w:proofErr w:type="spellStart"/>
      <w:r w:rsidRPr="00E71993">
        <w:rPr>
          <w:b w:val="0"/>
          <w:sz w:val="20"/>
          <w:szCs w:val="20"/>
        </w:rPr>
        <w:t>Beiderwieden</w:t>
      </w:r>
      <w:proofErr w:type="spellEnd"/>
      <w:r w:rsidRPr="00E71993">
        <w:rPr>
          <w:b w:val="0"/>
          <w:sz w:val="20"/>
          <w:szCs w:val="20"/>
        </w:rPr>
        <w:t xml:space="preserve"> und Herrn Wagner, Bildungsverlag EINS</w:t>
      </w:r>
      <w:r w:rsidR="00437E0F">
        <w:rPr>
          <w:b w:val="0"/>
          <w:sz w:val="20"/>
          <w:szCs w:val="20"/>
        </w:rPr>
        <w:t xml:space="preserve">, 3. Auflage </w:t>
      </w:r>
      <w:proofErr w:type="gramStart"/>
      <w:r w:rsidR="00437E0F">
        <w:rPr>
          <w:b w:val="0"/>
          <w:sz w:val="20"/>
          <w:szCs w:val="20"/>
        </w:rPr>
        <w:t xml:space="preserve">2019, </w:t>
      </w:r>
      <w:r w:rsidRPr="00E71993">
        <w:rPr>
          <w:b w:val="0"/>
          <w:sz w:val="20"/>
          <w:szCs w:val="20"/>
        </w:rPr>
        <w:t xml:space="preserve"> erstellt</w:t>
      </w:r>
      <w:proofErr w:type="gramEnd"/>
      <w:r w:rsidRPr="00E71993">
        <w:rPr>
          <w:b w:val="0"/>
          <w:sz w:val="20"/>
          <w:szCs w:val="20"/>
        </w:rPr>
        <w:t xml:space="preserve"> worden</w:t>
      </w:r>
      <w:r>
        <w:rPr>
          <w:b w:val="0"/>
          <w:sz w:val="20"/>
          <w:szCs w:val="20"/>
        </w:rPr>
        <w:t>.</w:t>
      </w:r>
    </w:p>
    <w:p w:rsidR="00973F32" w:rsidRDefault="00973F32" w:rsidP="00973F32">
      <w:r>
        <w:t>alle Angaben in Euro außer die, die bereits angegeben sind</w:t>
      </w:r>
      <w:r>
        <w:br w:type="page"/>
      </w:r>
    </w:p>
    <w:p w:rsidR="00973F32" w:rsidRPr="00B330A4" w:rsidRDefault="00973F32" w:rsidP="00973F32">
      <w:pPr>
        <w:jc w:val="center"/>
        <w:rPr>
          <w:u w:val="single"/>
        </w:rPr>
      </w:pPr>
      <w:r w:rsidRPr="00B330A4">
        <w:rPr>
          <w:u w:val="single"/>
        </w:rPr>
        <w:lastRenderedPageBreak/>
        <w:t>Lösungsblatt für die Aufgaben 1 und 2</w:t>
      </w:r>
    </w:p>
    <w:tbl>
      <w:tblPr>
        <w:tblW w:w="9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2240"/>
        <w:gridCol w:w="2315"/>
        <w:gridCol w:w="7"/>
      </w:tblGrid>
      <w:tr w:rsidR="00973F32" w:rsidTr="00C07433">
        <w:tc>
          <w:tcPr>
            <w:tcW w:w="9093" w:type="dxa"/>
            <w:gridSpan w:val="4"/>
            <w:shd w:val="pct5" w:color="auto" w:fill="auto"/>
          </w:tcPr>
          <w:p w:rsidR="00973F32" w:rsidRDefault="00973F32" w:rsidP="00C07433">
            <w:r>
              <w:tab/>
              <w:t>Statische Investitionsrechnungen</w:t>
            </w:r>
          </w:p>
        </w:tc>
      </w:tr>
      <w:tr w:rsidR="00973F32" w:rsidTr="00C07433">
        <w:trPr>
          <w:gridAfter w:val="1"/>
          <w:wAfter w:w="7" w:type="dxa"/>
        </w:trPr>
        <w:tc>
          <w:tcPr>
            <w:tcW w:w="4531" w:type="dxa"/>
            <w:shd w:val="pct5" w:color="auto" w:fill="auto"/>
          </w:tcPr>
          <w:p w:rsidR="00973F32" w:rsidRDefault="00973F32" w:rsidP="00C07433">
            <w:r>
              <w:t>1. Kostenvergleichsrechnung</w:t>
            </w:r>
          </w:p>
        </w:tc>
        <w:tc>
          <w:tcPr>
            <w:tcW w:w="2240" w:type="dxa"/>
            <w:shd w:val="clear" w:color="auto" w:fill="auto"/>
          </w:tcPr>
          <w:p w:rsidR="00973F32" w:rsidRDefault="00973F32" w:rsidP="00C07433">
            <w:pPr>
              <w:jc w:val="center"/>
            </w:pPr>
            <w:r>
              <w:t xml:space="preserve">CNC-Fräse </w:t>
            </w:r>
            <w:r w:rsidR="001F31FC">
              <w:t>I</w:t>
            </w:r>
          </w:p>
        </w:tc>
        <w:tc>
          <w:tcPr>
            <w:tcW w:w="2315" w:type="dxa"/>
            <w:shd w:val="clear" w:color="auto" w:fill="auto"/>
          </w:tcPr>
          <w:p w:rsidR="00973F32" w:rsidRDefault="00973F32" w:rsidP="00C07433">
            <w:pPr>
              <w:jc w:val="center"/>
            </w:pPr>
            <w:r>
              <w:t>CN</w:t>
            </w:r>
            <w:r w:rsidR="00423997">
              <w:t>C</w:t>
            </w:r>
            <w:r>
              <w:t xml:space="preserve">-Fräse </w:t>
            </w:r>
            <w:r w:rsidR="001F31FC">
              <w:t>II</w:t>
            </w:r>
          </w:p>
        </w:tc>
      </w:tr>
      <w:tr w:rsidR="00973F32" w:rsidTr="00C07433">
        <w:trPr>
          <w:gridAfter w:val="1"/>
          <w:wAfter w:w="7" w:type="dxa"/>
        </w:trPr>
        <w:tc>
          <w:tcPr>
            <w:tcW w:w="4531" w:type="dxa"/>
            <w:shd w:val="clear" w:color="auto" w:fill="auto"/>
          </w:tcPr>
          <w:p w:rsidR="00973F32" w:rsidRPr="00692EB4" w:rsidRDefault="00973F32" w:rsidP="00C07433">
            <w:r w:rsidRPr="00692EB4">
              <w:t>kalkulatorische Abschreibungen</w:t>
            </w:r>
          </w:p>
        </w:tc>
        <w:tc>
          <w:tcPr>
            <w:tcW w:w="2240" w:type="dxa"/>
            <w:shd w:val="clear" w:color="auto" w:fill="auto"/>
          </w:tcPr>
          <w:p w:rsidR="00973F32" w:rsidRDefault="00973F32" w:rsidP="00C07433">
            <w:pPr>
              <w:jc w:val="right"/>
            </w:pPr>
            <w:r>
              <w:t>32.000,00</w:t>
            </w:r>
          </w:p>
        </w:tc>
        <w:tc>
          <w:tcPr>
            <w:tcW w:w="2315" w:type="dxa"/>
            <w:shd w:val="clear" w:color="auto" w:fill="auto"/>
          </w:tcPr>
          <w:p w:rsidR="00973F32" w:rsidRDefault="00973F32" w:rsidP="00C07433">
            <w:pPr>
              <w:jc w:val="right"/>
            </w:pPr>
            <w:r>
              <w:t>35.000,00</w:t>
            </w:r>
          </w:p>
        </w:tc>
      </w:tr>
      <w:tr w:rsidR="00973F32" w:rsidTr="00C07433">
        <w:trPr>
          <w:gridAfter w:val="1"/>
          <w:wAfter w:w="7" w:type="dxa"/>
        </w:trPr>
        <w:tc>
          <w:tcPr>
            <w:tcW w:w="4531" w:type="dxa"/>
            <w:shd w:val="clear" w:color="auto" w:fill="auto"/>
          </w:tcPr>
          <w:p w:rsidR="00973F32" w:rsidRPr="00692EB4" w:rsidRDefault="00973F32" w:rsidP="00C07433">
            <w:r w:rsidRPr="00692EB4">
              <w:t xml:space="preserve">+ kalkulatorische </w:t>
            </w:r>
            <w:r>
              <w:t>Zinsen</w:t>
            </w:r>
          </w:p>
        </w:tc>
        <w:tc>
          <w:tcPr>
            <w:tcW w:w="2240" w:type="dxa"/>
            <w:shd w:val="clear" w:color="auto" w:fill="auto"/>
          </w:tcPr>
          <w:p w:rsidR="00973F32" w:rsidRDefault="00973F32" w:rsidP="00C07433">
            <w:pPr>
              <w:jc w:val="right"/>
            </w:pPr>
            <w:r>
              <w:t>10.000,00</w:t>
            </w:r>
          </w:p>
        </w:tc>
        <w:tc>
          <w:tcPr>
            <w:tcW w:w="2315" w:type="dxa"/>
            <w:shd w:val="clear" w:color="auto" w:fill="auto"/>
          </w:tcPr>
          <w:p w:rsidR="00973F32" w:rsidRDefault="00973F32" w:rsidP="00C07433">
            <w:pPr>
              <w:jc w:val="right"/>
            </w:pPr>
            <w:r>
              <w:t>13.500,00</w:t>
            </w:r>
          </w:p>
        </w:tc>
      </w:tr>
      <w:tr w:rsidR="00973F32" w:rsidTr="00C07433">
        <w:trPr>
          <w:gridAfter w:val="1"/>
          <w:wAfter w:w="7" w:type="dxa"/>
        </w:trPr>
        <w:tc>
          <w:tcPr>
            <w:tcW w:w="4531" w:type="dxa"/>
            <w:shd w:val="clear" w:color="auto" w:fill="auto"/>
          </w:tcPr>
          <w:p w:rsidR="00973F32" w:rsidRPr="00692EB4" w:rsidRDefault="00973F32" w:rsidP="00C07433">
            <w:r w:rsidRPr="00692EB4">
              <w:t xml:space="preserve">+ </w:t>
            </w:r>
            <w:r>
              <w:t xml:space="preserve">sonstige fixe Kosten (ohne </w:t>
            </w:r>
            <w:proofErr w:type="spellStart"/>
            <w:r>
              <w:t>Abschreib</w:t>
            </w:r>
            <w:proofErr w:type="spellEnd"/>
            <w:r>
              <w:t>.)</w:t>
            </w:r>
          </w:p>
        </w:tc>
        <w:tc>
          <w:tcPr>
            <w:tcW w:w="2240" w:type="dxa"/>
            <w:shd w:val="clear" w:color="auto" w:fill="auto"/>
          </w:tcPr>
          <w:p w:rsidR="00973F32" w:rsidRDefault="00973F32" w:rsidP="00C07433">
            <w:pPr>
              <w:jc w:val="right"/>
            </w:pPr>
            <w:r>
              <w:t>25.000,00</w:t>
            </w:r>
          </w:p>
        </w:tc>
        <w:tc>
          <w:tcPr>
            <w:tcW w:w="2315" w:type="dxa"/>
            <w:shd w:val="clear" w:color="auto" w:fill="auto"/>
          </w:tcPr>
          <w:p w:rsidR="00973F32" w:rsidRDefault="00973F32" w:rsidP="00C07433">
            <w:pPr>
              <w:jc w:val="right"/>
            </w:pPr>
            <w:r>
              <w:t>28.000,00</w:t>
            </w:r>
          </w:p>
        </w:tc>
      </w:tr>
      <w:tr w:rsidR="00973F32" w:rsidTr="00C07433">
        <w:trPr>
          <w:gridAfter w:val="1"/>
          <w:wAfter w:w="7" w:type="dxa"/>
        </w:trPr>
        <w:tc>
          <w:tcPr>
            <w:tcW w:w="4531" w:type="dxa"/>
            <w:shd w:val="clear" w:color="auto" w:fill="auto"/>
          </w:tcPr>
          <w:p w:rsidR="00973F32" w:rsidRPr="00692EB4" w:rsidRDefault="00973F32" w:rsidP="00C07433">
            <w:r>
              <w:t>= fixe Kosten</w:t>
            </w:r>
          </w:p>
        </w:tc>
        <w:tc>
          <w:tcPr>
            <w:tcW w:w="2240" w:type="dxa"/>
            <w:shd w:val="clear" w:color="auto" w:fill="auto"/>
          </w:tcPr>
          <w:p w:rsidR="00973F32" w:rsidRDefault="00973F32" w:rsidP="00C07433">
            <w:pPr>
              <w:jc w:val="right"/>
            </w:pPr>
            <w:r>
              <w:t>67.000,00</w:t>
            </w:r>
          </w:p>
        </w:tc>
        <w:tc>
          <w:tcPr>
            <w:tcW w:w="2315" w:type="dxa"/>
            <w:shd w:val="clear" w:color="auto" w:fill="auto"/>
          </w:tcPr>
          <w:p w:rsidR="00973F32" w:rsidRDefault="00973F32" w:rsidP="00C07433">
            <w:pPr>
              <w:jc w:val="right"/>
            </w:pPr>
            <w:r>
              <w:t>76.500,00</w:t>
            </w:r>
          </w:p>
        </w:tc>
      </w:tr>
      <w:tr w:rsidR="00973F32" w:rsidTr="00C07433">
        <w:trPr>
          <w:gridAfter w:val="1"/>
          <w:wAfter w:w="7" w:type="dxa"/>
        </w:trPr>
        <w:tc>
          <w:tcPr>
            <w:tcW w:w="4531" w:type="dxa"/>
            <w:shd w:val="clear" w:color="auto" w:fill="auto"/>
          </w:tcPr>
          <w:p w:rsidR="00973F32" w:rsidRPr="00692EB4" w:rsidRDefault="00973F32" w:rsidP="00C07433">
            <w:r>
              <w:t>Fertigungsmaterial</w:t>
            </w:r>
          </w:p>
        </w:tc>
        <w:tc>
          <w:tcPr>
            <w:tcW w:w="2240" w:type="dxa"/>
            <w:shd w:val="clear" w:color="auto" w:fill="auto"/>
          </w:tcPr>
          <w:p w:rsidR="00973F32" w:rsidRDefault="00973F32" w:rsidP="00C07433">
            <w:pPr>
              <w:jc w:val="right"/>
            </w:pPr>
            <w:r>
              <w:t>81.000,00</w:t>
            </w:r>
          </w:p>
        </w:tc>
        <w:tc>
          <w:tcPr>
            <w:tcW w:w="2315" w:type="dxa"/>
            <w:shd w:val="clear" w:color="auto" w:fill="auto"/>
          </w:tcPr>
          <w:p w:rsidR="00973F32" w:rsidRDefault="00973F32" w:rsidP="00C07433">
            <w:pPr>
              <w:jc w:val="right"/>
            </w:pPr>
            <w:r>
              <w:t>85.500,00</w:t>
            </w:r>
          </w:p>
        </w:tc>
      </w:tr>
      <w:tr w:rsidR="00973F32" w:rsidTr="00C07433">
        <w:trPr>
          <w:gridAfter w:val="1"/>
          <w:wAfter w:w="7" w:type="dxa"/>
        </w:trPr>
        <w:tc>
          <w:tcPr>
            <w:tcW w:w="4531" w:type="dxa"/>
            <w:shd w:val="clear" w:color="auto" w:fill="auto"/>
          </w:tcPr>
          <w:p w:rsidR="00973F32" w:rsidRDefault="00973F32" w:rsidP="00C07433">
            <w:r>
              <w:t>+ Fertigungslöhne</w:t>
            </w:r>
          </w:p>
        </w:tc>
        <w:tc>
          <w:tcPr>
            <w:tcW w:w="2240" w:type="dxa"/>
            <w:shd w:val="clear" w:color="auto" w:fill="auto"/>
          </w:tcPr>
          <w:p w:rsidR="00973F32" w:rsidRDefault="00973F32" w:rsidP="00C07433">
            <w:pPr>
              <w:jc w:val="right"/>
            </w:pPr>
            <w:r>
              <w:t>90.000,00</w:t>
            </w:r>
          </w:p>
        </w:tc>
        <w:tc>
          <w:tcPr>
            <w:tcW w:w="2315" w:type="dxa"/>
            <w:shd w:val="clear" w:color="auto" w:fill="auto"/>
          </w:tcPr>
          <w:p w:rsidR="00973F32" w:rsidRDefault="00973F32" w:rsidP="00C07433">
            <w:pPr>
              <w:jc w:val="right"/>
            </w:pPr>
            <w:r>
              <w:t>81.000,00</w:t>
            </w:r>
          </w:p>
        </w:tc>
      </w:tr>
      <w:tr w:rsidR="00973F32" w:rsidTr="00C07433">
        <w:trPr>
          <w:gridAfter w:val="1"/>
          <w:wAfter w:w="7" w:type="dxa"/>
        </w:trPr>
        <w:tc>
          <w:tcPr>
            <w:tcW w:w="4531" w:type="dxa"/>
            <w:shd w:val="clear" w:color="auto" w:fill="auto"/>
          </w:tcPr>
          <w:p w:rsidR="00973F32" w:rsidRDefault="00973F32" w:rsidP="00C07433">
            <w:r>
              <w:t>+ sonstige variable Kosten</w:t>
            </w:r>
          </w:p>
        </w:tc>
        <w:tc>
          <w:tcPr>
            <w:tcW w:w="2240" w:type="dxa"/>
            <w:shd w:val="clear" w:color="auto" w:fill="auto"/>
          </w:tcPr>
          <w:p w:rsidR="00973F32" w:rsidRDefault="00973F32" w:rsidP="00C07433">
            <w:pPr>
              <w:jc w:val="right"/>
            </w:pPr>
            <w:r>
              <w:t>31.500,00</w:t>
            </w:r>
          </w:p>
        </w:tc>
        <w:tc>
          <w:tcPr>
            <w:tcW w:w="2315" w:type="dxa"/>
            <w:shd w:val="clear" w:color="auto" w:fill="auto"/>
          </w:tcPr>
          <w:p w:rsidR="00973F32" w:rsidRDefault="00973F32" w:rsidP="00C07433">
            <w:pPr>
              <w:jc w:val="right"/>
            </w:pPr>
            <w:r>
              <w:t>18.000,00</w:t>
            </w:r>
          </w:p>
        </w:tc>
      </w:tr>
      <w:tr w:rsidR="00973F32" w:rsidTr="00C07433">
        <w:trPr>
          <w:gridAfter w:val="1"/>
          <w:wAfter w:w="7" w:type="dxa"/>
        </w:trPr>
        <w:tc>
          <w:tcPr>
            <w:tcW w:w="4531" w:type="dxa"/>
            <w:shd w:val="clear" w:color="auto" w:fill="auto"/>
          </w:tcPr>
          <w:p w:rsidR="00973F32" w:rsidRDefault="00973F32" w:rsidP="00C07433">
            <w:r>
              <w:t>= variable Kosten</w:t>
            </w:r>
          </w:p>
        </w:tc>
        <w:tc>
          <w:tcPr>
            <w:tcW w:w="2240" w:type="dxa"/>
            <w:shd w:val="clear" w:color="auto" w:fill="auto"/>
          </w:tcPr>
          <w:p w:rsidR="00973F32" w:rsidRDefault="00973F32" w:rsidP="00C07433">
            <w:pPr>
              <w:jc w:val="right"/>
            </w:pPr>
            <w:r>
              <w:t>202.500,00</w:t>
            </w:r>
          </w:p>
        </w:tc>
        <w:tc>
          <w:tcPr>
            <w:tcW w:w="2315" w:type="dxa"/>
            <w:shd w:val="clear" w:color="auto" w:fill="auto"/>
          </w:tcPr>
          <w:p w:rsidR="00973F32" w:rsidRDefault="00973F32" w:rsidP="00C07433">
            <w:pPr>
              <w:jc w:val="right"/>
            </w:pPr>
            <w:r>
              <w:t>184.500,00</w:t>
            </w:r>
          </w:p>
        </w:tc>
      </w:tr>
      <w:tr w:rsidR="00973F32" w:rsidTr="00C07433">
        <w:trPr>
          <w:gridAfter w:val="1"/>
          <w:wAfter w:w="7" w:type="dxa"/>
        </w:trPr>
        <w:tc>
          <w:tcPr>
            <w:tcW w:w="4531" w:type="dxa"/>
            <w:shd w:val="clear" w:color="auto" w:fill="auto"/>
          </w:tcPr>
          <w:p w:rsidR="00973F32" w:rsidRDefault="00973F32" w:rsidP="00C07433">
            <w:r>
              <w:t>= Gesamtkosten</w:t>
            </w:r>
          </w:p>
        </w:tc>
        <w:tc>
          <w:tcPr>
            <w:tcW w:w="2240" w:type="dxa"/>
            <w:shd w:val="clear" w:color="auto" w:fill="auto"/>
          </w:tcPr>
          <w:p w:rsidR="00973F32" w:rsidRDefault="00973F32" w:rsidP="00C07433">
            <w:pPr>
              <w:jc w:val="right"/>
            </w:pPr>
            <w:r>
              <w:t>269.500,00</w:t>
            </w:r>
          </w:p>
        </w:tc>
        <w:tc>
          <w:tcPr>
            <w:tcW w:w="2315" w:type="dxa"/>
            <w:shd w:val="clear" w:color="auto" w:fill="auto"/>
          </w:tcPr>
          <w:p w:rsidR="00973F32" w:rsidRDefault="00973F32" w:rsidP="00C07433">
            <w:pPr>
              <w:jc w:val="right"/>
            </w:pPr>
            <w:r>
              <w:t>261.000,00</w:t>
            </w:r>
          </w:p>
        </w:tc>
      </w:tr>
      <w:tr w:rsidR="00973F32" w:rsidTr="00C07433">
        <w:trPr>
          <w:gridAfter w:val="1"/>
          <w:wAfter w:w="7" w:type="dxa"/>
        </w:trPr>
        <w:tc>
          <w:tcPr>
            <w:tcW w:w="4531" w:type="dxa"/>
            <w:shd w:val="clear" w:color="auto" w:fill="auto"/>
          </w:tcPr>
          <w:p w:rsidR="00973F32" w:rsidRDefault="00973F32" w:rsidP="00C07433">
            <w:r>
              <w:t>Kostendifferenz</w:t>
            </w:r>
          </w:p>
        </w:tc>
        <w:tc>
          <w:tcPr>
            <w:tcW w:w="2240" w:type="dxa"/>
            <w:shd w:val="clear" w:color="auto" w:fill="auto"/>
          </w:tcPr>
          <w:p w:rsidR="00973F32" w:rsidRDefault="00973F32" w:rsidP="00C07433">
            <w:pPr>
              <w:jc w:val="right"/>
            </w:pPr>
            <w:r>
              <w:t>-8.500,00</w:t>
            </w: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tcBorders>
              <w:bottom w:val="single" w:sz="4" w:space="0" w:color="auto"/>
            </w:tcBorders>
            <w:shd w:val="pct5" w:color="auto" w:fill="auto"/>
          </w:tcPr>
          <w:p w:rsidR="00973F32" w:rsidRDefault="00973F32" w:rsidP="00C07433">
            <w:r>
              <w:t>2. Kritische Auslastung Kostenvergleich</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r>
              <w:t>Kf1 + kv1 * x = Kf2 + kv2*x</w:t>
            </w:r>
          </w:p>
        </w:tc>
        <w:tc>
          <w:tcPr>
            <w:tcW w:w="4555" w:type="dxa"/>
            <w:gridSpan w:val="2"/>
            <w:shd w:val="clear" w:color="auto" w:fill="auto"/>
          </w:tcPr>
          <w:p w:rsidR="00973F32" w:rsidRDefault="00973F32" w:rsidP="00C07433">
            <w:r>
              <w:t>67.000,00 + 4,5 x = 76.500,00 + 4,1 x</w:t>
            </w:r>
          </w:p>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tc>
        <w:tc>
          <w:tcPr>
            <w:tcW w:w="4555" w:type="dxa"/>
            <w:gridSpan w:val="2"/>
            <w:shd w:val="clear" w:color="auto" w:fill="auto"/>
          </w:tcPr>
          <w:p w:rsidR="00973F32" w:rsidRDefault="00973F32" w:rsidP="00C07433">
            <w:r>
              <w:t>x = 23.750 Stück</w:t>
            </w:r>
          </w:p>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pct5" w:color="auto" w:fill="auto"/>
          </w:tcPr>
          <w:p w:rsidR="00973F32" w:rsidRPr="00692EB4" w:rsidRDefault="00973F32" w:rsidP="00C07433">
            <w:r>
              <w:t xml:space="preserve">3. </w:t>
            </w:r>
            <w:r w:rsidRPr="00692EB4">
              <w:t>Gewinnvergleichsrechnung</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Jahreserlös</w:t>
            </w:r>
          </w:p>
        </w:tc>
        <w:tc>
          <w:tcPr>
            <w:tcW w:w="2240" w:type="dxa"/>
            <w:shd w:val="clear" w:color="auto" w:fill="auto"/>
          </w:tcPr>
          <w:p w:rsidR="00973F32" w:rsidRDefault="00973F32" w:rsidP="00C07433">
            <w:pPr>
              <w:jc w:val="right"/>
            </w:pPr>
            <w:r>
              <w:t>360.000,00</w:t>
            </w:r>
          </w:p>
        </w:tc>
        <w:tc>
          <w:tcPr>
            <w:tcW w:w="2315" w:type="dxa"/>
            <w:shd w:val="clear" w:color="auto" w:fill="auto"/>
          </w:tcPr>
          <w:p w:rsidR="00973F32" w:rsidRDefault="00973F32" w:rsidP="00C07433">
            <w:pPr>
              <w:jc w:val="right"/>
            </w:pPr>
            <w:r>
              <w:t>387.000,00</w:t>
            </w:r>
          </w:p>
        </w:tc>
      </w:tr>
      <w:tr w:rsidR="00973F32" w:rsidTr="00C07433">
        <w:trPr>
          <w:gridAfter w:val="1"/>
          <w:wAfter w:w="7" w:type="dxa"/>
        </w:trPr>
        <w:tc>
          <w:tcPr>
            <w:tcW w:w="4531" w:type="dxa"/>
            <w:shd w:val="clear" w:color="auto" w:fill="auto"/>
          </w:tcPr>
          <w:p w:rsidR="00973F32" w:rsidRDefault="00973F32" w:rsidP="00C07433">
            <w:pPr>
              <w:pStyle w:val="Listenabsatz"/>
              <w:numPr>
                <w:ilvl w:val="0"/>
                <w:numId w:val="5"/>
              </w:numPr>
            </w:pPr>
            <w:r>
              <w:t>Gesamtkosten</w:t>
            </w:r>
          </w:p>
        </w:tc>
        <w:tc>
          <w:tcPr>
            <w:tcW w:w="2240" w:type="dxa"/>
            <w:shd w:val="clear" w:color="auto" w:fill="auto"/>
          </w:tcPr>
          <w:p w:rsidR="00973F32" w:rsidRDefault="00973F32" w:rsidP="00C07433">
            <w:pPr>
              <w:jc w:val="right"/>
            </w:pPr>
            <w:r>
              <w:t>269.500,00</w:t>
            </w:r>
          </w:p>
        </w:tc>
        <w:tc>
          <w:tcPr>
            <w:tcW w:w="2315" w:type="dxa"/>
            <w:shd w:val="clear" w:color="auto" w:fill="auto"/>
          </w:tcPr>
          <w:p w:rsidR="00973F32" w:rsidRDefault="00973F32" w:rsidP="00C07433">
            <w:pPr>
              <w:jc w:val="right"/>
            </w:pPr>
            <w:r>
              <w:t>261.000,00</w:t>
            </w:r>
          </w:p>
        </w:tc>
      </w:tr>
      <w:tr w:rsidR="00973F32" w:rsidTr="00C07433">
        <w:trPr>
          <w:gridAfter w:val="1"/>
          <w:wAfter w:w="7" w:type="dxa"/>
        </w:trPr>
        <w:tc>
          <w:tcPr>
            <w:tcW w:w="4531" w:type="dxa"/>
            <w:shd w:val="clear" w:color="auto" w:fill="auto"/>
          </w:tcPr>
          <w:p w:rsidR="00973F32" w:rsidRDefault="00973F32" w:rsidP="00C07433">
            <w:r>
              <w:t>= Stückgewinn</w:t>
            </w:r>
          </w:p>
        </w:tc>
        <w:tc>
          <w:tcPr>
            <w:tcW w:w="2240" w:type="dxa"/>
            <w:shd w:val="clear" w:color="auto" w:fill="auto"/>
          </w:tcPr>
          <w:p w:rsidR="00973F32" w:rsidRDefault="00973F32" w:rsidP="00C07433">
            <w:pPr>
              <w:jc w:val="right"/>
            </w:pPr>
            <w:r>
              <w:t>90.500,00</w:t>
            </w:r>
          </w:p>
        </w:tc>
        <w:tc>
          <w:tcPr>
            <w:tcW w:w="2315" w:type="dxa"/>
            <w:shd w:val="clear" w:color="auto" w:fill="auto"/>
          </w:tcPr>
          <w:p w:rsidR="00973F32" w:rsidRDefault="00973F32" w:rsidP="00C07433">
            <w:pPr>
              <w:jc w:val="right"/>
            </w:pPr>
            <w:r>
              <w:t>126.000,00</w:t>
            </w:r>
          </w:p>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pct5" w:color="auto" w:fill="auto"/>
          </w:tcPr>
          <w:p w:rsidR="00973F32" w:rsidRDefault="00973F32" w:rsidP="00C07433">
            <w:r>
              <w:t>4. Rentabilitätsvergleichsrechnung</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Gewinn + kalkulatorische Zinsen</w:t>
            </w:r>
          </w:p>
        </w:tc>
        <w:tc>
          <w:tcPr>
            <w:tcW w:w="2240" w:type="dxa"/>
            <w:shd w:val="clear" w:color="auto" w:fill="auto"/>
          </w:tcPr>
          <w:p w:rsidR="00973F32" w:rsidRDefault="00973F32" w:rsidP="00C07433">
            <w:pPr>
              <w:jc w:val="right"/>
            </w:pPr>
            <w:r>
              <w:t>100.500,00</w:t>
            </w:r>
          </w:p>
        </w:tc>
        <w:tc>
          <w:tcPr>
            <w:tcW w:w="2315" w:type="dxa"/>
            <w:shd w:val="clear" w:color="auto" w:fill="auto"/>
          </w:tcPr>
          <w:p w:rsidR="00973F32" w:rsidRDefault="00973F32" w:rsidP="00C07433">
            <w:pPr>
              <w:jc w:val="right"/>
            </w:pPr>
            <w:r>
              <w:t>139.500,00</w:t>
            </w:r>
          </w:p>
        </w:tc>
      </w:tr>
      <w:tr w:rsidR="00973F32" w:rsidTr="00C07433">
        <w:trPr>
          <w:gridAfter w:val="1"/>
          <w:wAfter w:w="7" w:type="dxa"/>
        </w:trPr>
        <w:tc>
          <w:tcPr>
            <w:tcW w:w="4531" w:type="dxa"/>
            <w:shd w:val="clear" w:color="auto" w:fill="auto"/>
          </w:tcPr>
          <w:p w:rsidR="00973F32" w:rsidRDefault="00973F32" w:rsidP="00C07433">
            <w:r>
              <w:t>: durchschnittlich gebundenes Kapital</w:t>
            </w:r>
          </w:p>
        </w:tc>
        <w:tc>
          <w:tcPr>
            <w:tcW w:w="2240" w:type="dxa"/>
            <w:shd w:val="clear" w:color="auto" w:fill="auto"/>
          </w:tcPr>
          <w:p w:rsidR="00973F32" w:rsidRDefault="00973F32" w:rsidP="00C07433">
            <w:pPr>
              <w:jc w:val="right"/>
            </w:pPr>
            <w:r>
              <w:t>100.000,00</w:t>
            </w:r>
          </w:p>
        </w:tc>
        <w:tc>
          <w:tcPr>
            <w:tcW w:w="2315" w:type="dxa"/>
            <w:shd w:val="clear" w:color="auto" w:fill="auto"/>
          </w:tcPr>
          <w:p w:rsidR="00973F32" w:rsidRDefault="00973F32" w:rsidP="00C07433">
            <w:pPr>
              <w:jc w:val="right"/>
            </w:pPr>
            <w:r>
              <w:t>135.000,00</w:t>
            </w:r>
          </w:p>
        </w:tc>
      </w:tr>
      <w:tr w:rsidR="00973F32" w:rsidTr="00C07433">
        <w:trPr>
          <w:gridAfter w:val="1"/>
          <w:wAfter w:w="7" w:type="dxa"/>
        </w:trPr>
        <w:tc>
          <w:tcPr>
            <w:tcW w:w="4531" w:type="dxa"/>
            <w:shd w:val="clear" w:color="auto" w:fill="auto"/>
          </w:tcPr>
          <w:p w:rsidR="00973F32" w:rsidRDefault="00973F32" w:rsidP="00C07433">
            <w:r>
              <w:t>= Rentabilität in %</w:t>
            </w:r>
          </w:p>
        </w:tc>
        <w:tc>
          <w:tcPr>
            <w:tcW w:w="2240" w:type="dxa"/>
            <w:shd w:val="clear" w:color="auto" w:fill="auto"/>
          </w:tcPr>
          <w:p w:rsidR="00973F32" w:rsidRDefault="00973F32" w:rsidP="00C07433">
            <w:pPr>
              <w:jc w:val="right"/>
            </w:pPr>
            <w:r>
              <w:t>100,50</w:t>
            </w:r>
          </w:p>
        </w:tc>
        <w:tc>
          <w:tcPr>
            <w:tcW w:w="2315" w:type="dxa"/>
            <w:shd w:val="clear" w:color="auto" w:fill="auto"/>
          </w:tcPr>
          <w:p w:rsidR="00973F32" w:rsidRDefault="00973F32" w:rsidP="00C07433">
            <w:pPr>
              <w:jc w:val="right"/>
            </w:pPr>
            <w:r>
              <w:t>103,33</w:t>
            </w:r>
          </w:p>
        </w:tc>
      </w:tr>
      <w:tr w:rsidR="00973F32" w:rsidTr="00C07433">
        <w:trPr>
          <w:gridAfter w:val="1"/>
          <w:wAfter w:w="7" w:type="dxa"/>
        </w:trPr>
        <w:tc>
          <w:tcPr>
            <w:tcW w:w="4531" w:type="dxa"/>
            <w:tcBorders>
              <w:bottom w:val="single" w:sz="4" w:space="0" w:color="auto"/>
            </w:tcBorders>
            <w:shd w:val="clear" w:color="auto" w:fill="auto"/>
          </w:tcPr>
          <w:p w:rsidR="00973F32" w:rsidRDefault="00973F32" w:rsidP="00C07433"/>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pct5" w:color="auto" w:fill="auto"/>
          </w:tcPr>
          <w:p w:rsidR="00973F32" w:rsidRDefault="00973F32" w:rsidP="00C07433">
            <w:r>
              <w:t>5. Amortisationsvergleichsrechnung</w:t>
            </w:r>
          </w:p>
        </w:tc>
        <w:tc>
          <w:tcPr>
            <w:tcW w:w="2240" w:type="dxa"/>
            <w:shd w:val="clear" w:color="auto" w:fill="auto"/>
          </w:tcPr>
          <w:p w:rsidR="00973F32" w:rsidRDefault="00973F32" w:rsidP="00C07433">
            <w:pPr>
              <w:jc w:val="right"/>
            </w:pPr>
          </w:p>
        </w:tc>
        <w:tc>
          <w:tcPr>
            <w:tcW w:w="2315" w:type="dxa"/>
            <w:shd w:val="clear" w:color="auto" w:fill="auto"/>
          </w:tcPr>
          <w:p w:rsidR="00973F32" w:rsidRDefault="00973F32" w:rsidP="00C07433">
            <w:pPr>
              <w:jc w:val="right"/>
            </w:pPr>
          </w:p>
        </w:tc>
      </w:tr>
      <w:tr w:rsidR="00973F32" w:rsidTr="00C07433">
        <w:trPr>
          <w:gridAfter w:val="1"/>
          <w:wAfter w:w="7" w:type="dxa"/>
        </w:trPr>
        <w:tc>
          <w:tcPr>
            <w:tcW w:w="4531" w:type="dxa"/>
            <w:shd w:val="clear" w:color="auto" w:fill="auto"/>
          </w:tcPr>
          <w:p w:rsidR="00973F32" w:rsidRDefault="00973F32" w:rsidP="00C07433">
            <w:r>
              <w:t>Anschaffungskosten - Restwert</w:t>
            </w:r>
          </w:p>
        </w:tc>
        <w:tc>
          <w:tcPr>
            <w:tcW w:w="2240" w:type="dxa"/>
            <w:shd w:val="clear" w:color="auto" w:fill="auto"/>
          </w:tcPr>
          <w:p w:rsidR="00973F32" w:rsidRDefault="00973F32" w:rsidP="00C07433">
            <w:pPr>
              <w:jc w:val="right"/>
            </w:pPr>
            <w:r>
              <w:t>160.000,00</w:t>
            </w:r>
          </w:p>
        </w:tc>
        <w:tc>
          <w:tcPr>
            <w:tcW w:w="2315" w:type="dxa"/>
            <w:shd w:val="clear" w:color="auto" w:fill="auto"/>
          </w:tcPr>
          <w:p w:rsidR="00973F32" w:rsidRDefault="00973F32" w:rsidP="00C07433">
            <w:pPr>
              <w:jc w:val="right"/>
            </w:pPr>
            <w:r>
              <w:t>210.000,00</w:t>
            </w:r>
          </w:p>
        </w:tc>
      </w:tr>
      <w:tr w:rsidR="00973F32" w:rsidTr="00C07433">
        <w:trPr>
          <w:gridAfter w:val="1"/>
          <w:wAfter w:w="7" w:type="dxa"/>
        </w:trPr>
        <w:tc>
          <w:tcPr>
            <w:tcW w:w="4531" w:type="dxa"/>
            <w:shd w:val="clear" w:color="auto" w:fill="auto"/>
          </w:tcPr>
          <w:p w:rsidR="00973F32" w:rsidRDefault="00973F32" w:rsidP="00C07433">
            <w:r>
              <w:t>: Gewinn + Abschreibungen</w:t>
            </w:r>
          </w:p>
        </w:tc>
        <w:tc>
          <w:tcPr>
            <w:tcW w:w="2240" w:type="dxa"/>
            <w:shd w:val="clear" w:color="auto" w:fill="auto"/>
          </w:tcPr>
          <w:p w:rsidR="00973F32" w:rsidRDefault="00973F32" w:rsidP="00C07433">
            <w:pPr>
              <w:jc w:val="right"/>
            </w:pPr>
            <w:r>
              <w:t>122.500,00</w:t>
            </w:r>
          </w:p>
        </w:tc>
        <w:tc>
          <w:tcPr>
            <w:tcW w:w="2315" w:type="dxa"/>
            <w:shd w:val="clear" w:color="auto" w:fill="auto"/>
          </w:tcPr>
          <w:p w:rsidR="00973F32" w:rsidRDefault="00973F32" w:rsidP="00C07433">
            <w:pPr>
              <w:jc w:val="right"/>
            </w:pPr>
            <w:r>
              <w:t>161.000,00</w:t>
            </w:r>
          </w:p>
        </w:tc>
      </w:tr>
      <w:tr w:rsidR="00973F32" w:rsidTr="00C07433">
        <w:trPr>
          <w:gridAfter w:val="1"/>
          <w:wAfter w:w="7" w:type="dxa"/>
        </w:trPr>
        <w:tc>
          <w:tcPr>
            <w:tcW w:w="4531" w:type="dxa"/>
            <w:shd w:val="clear" w:color="auto" w:fill="auto"/>
          </w:tcPr>
          <w:p w:rsidR="00973F32" w:rsidRDefault="00973F32" w:rsidP="00C07433">
            <w:r>
              <w:t>= Amortisation in Jahren</w:t>
            </w:r>
          </w:p>
        </w:tc>
        <w:tc>
          <w:tcPr>
            <w:tcW w:w="2240" w:type="dxa"/>
            <w:shd w:val="clear" w:color="auto" w:fill="auto"/>
          </w:tcPr>
          <w:p w:rsidR="00973F32" w:rsidRDefault="00973F32" w:rsidP="00C07433">
            <w:pPr>
              <w:jc w:val="right"/>
            </w:pPr>
            <w:r>
              <w:t>1,31</w:t>
            </w:r>
          </w:p>
        </w:tc>
        <w:tc>
          <w:tcPr>
            <w:tcW w:w="2315" w:type="dxa"/>
            <w:shd w:val="clear" w:color="auto" w:fill="auto"/>
          </w:tcPr>
          <w:p w:rsidR="00973F32" w:rsidRDefault="00973F32" w:rsidP="00C07433">
            <w:pPr>
              <w:jc w:val="right"/>
            </w:pPr>
            <w:r>
              <w:t>1,30</w:t>
            </w:r>
          </w:p>
        </w:tc>
      </w:tr>
    </w:tbl>
    <w:p w:rsidR="00973F32" w:rsidRDefault="00973F32" w:rsidP="00973F32"/>
    <w:p w:rsidR="00973F32" w:rsidRDefault="00973F32" w:rsidP="00973F32">
      <w:r>
        <w:t>alle Angaben in Euro außer die, die bereits angegeben sind</w:t>
      </w:r>
    </w:p>
    <w:p w:rsidR="000C6D1B" w:rsidRDefault="000C6D1B" w:rsidP="00EA6B40"/>
    <w:p w:rsidR="00423997" w:rsidRPr="00B330A4" w:rsidRDefault="00423997" w:rsidP="00EA6B40">
      <w:pPr>
        <w:rPr>
          <w:u w:val="single"/>
        </w:rPr>
      </w:pPr>
      <w:r w:rsidRPr="00B330A4">
        <w:rPr>
          <w:u w:val="single"/>
        </w:rPr>
        <w:lastRenderedPageBreak/>
        <w:t>Lösung zu Aufgabe 3</w:t>
      </w:r>
    </w:p>
    <w:p w:rsidR="00423997" w:rsidRDefault="00423997" w:rsidP="00EA6B40">
      <w:r>
        <w:t>Auswertung</w:t>
      </w:r>
    </w:p>
    <w:p w:rsidR="00423997" w:rsidRDefault="00423997" w:rsidP="00EA6B40">
      <w:r>
        <w:t xml:space="preserve">Bei der Kostenvergleichsrechnung wird deutlich, dass unter der Maßgabe, dass 45.000 Stück produziert werden, die CNC-Fräse </w:t>
      </w:r>
      <w:r w:rsidR="001F31FC">
        <w:t>II</w:t>
      </w:r>
      <w:r>
        <w:t xml:space="preserve"> 8.500,00 </w:t>
      </w:r>
      <w:r w:rsidR="001F31FC">
        <w:t>E</w:t>
      </w:r>
      <w:r>
        <w:t>uro weniger Kosten verursacht.</w:t>
      </w:r>
    </w:p>
    <w:p w:rsidR="00423997" w:rsidRDefault="00423997" w:rsidP="00EA6B40">
      <w:r>
        <w:t xml:space="preserve">Ab einer Produktion von 23.750 Stück ist es günstiger mit der CNC-Fräse </w:t>
      </w:r>
      <w:r w:rsidR="001F31FC">
        <w:t>II</w:t>
      </w:r>
      <w:r>
        <w:t xml:space="preserve"> zu produzieren.</w:t>
      </w:r>
    </w:p>
    <w:p w:rsidR="00423997" w:rsidRDefault="001F31FC" w:rsidP="00EA6B40">
      <w:r>
        <w:t>A</w:t>
      </w:r>
      <w:r w:rsidR="00423997">
        <w:t xml:space="preserve">uch bei der Gewinnvergleichsrechnung wird deutlich, dass </w:t>
      </w:r>
      <w:r>
        <w:t>durch den</w:t>
      </w:r>
      <w:r w:rsidR="00423997">
        <w:t xml:space="preserve"> Gewinn </w:t>
      </w:r>
      <w:r>
        <w:t xml:space="preserve">von 126.000,00 Euro </w:t>
      </w:r>
      <w:r w:rsidR="00423997">
        <w:t>bei der CNC-Fräse</w:t>
      </w:r>
      <w:r>
        <w:t xml:space="preserve"> II 35.500,00 Euro mehr Gewinn erwirtschaftet wird. Kritisch zu hinterfragen ist hier jedoch, ob der Verkaufserlös der Produkte wirklich unterschiedlich hoch sein kann.</w:t>
      </w:r>
    </w:p>
    <w:p w:rsidR="001F31FC" w:rsidRDefault="001F31FC" w:rsidP="00EA6B40">
      <w:r>
        <w:t>Die Rentabilität der CNC-Fräse II ist mit 2,83 Prozentpunkte höher als die der CNC-Fräse I.</w:t>
      </w:r>
    </w:p>
    <w:p w:rsidR="001F31FC" w:rsidRDefault="001F31FC" w:rsidP="00EA6B40">
      <w:r>
        <w:t xml:space="preserve">Auch die Amortisationszeit der CNC-Fräse ist geringfügig </w:t>
      </w:r>
      <w:r w:rsidR="001C3A18">
        <w:t>kürzer</w:t>
      </w:r>
      <w:r>
        <w:t xml:space="preserve"> mit 1,30 zu 1,31.</w:t>
      </w:r>
    </w:p>
    <w:p w:rsidR="001F31FC" w:rsidRDefault="001F31FC" w:rsidP="00EA6B40">
      <w:r>
        <w:t>Zusammenfassend kann gesagt werden, dass es sich wirtschaftlich mehr lohnt, die CNC-Fräse II anzuschaffen.</w:t>
      </w:r>
    </w:p>
    <w:p w:rsidR="001F31FC" w:rsidRDefault="001F31FC" w:rsidP="00EA6B40"/>
    <w:p w:rsidR="001F31FC" w:rsidRPr="00B330A4" w:rsidRDefault="001F31FC" w:rsidP="00EA6B40">
      <w:pPr>
        <w:rPr>
          <w:u w:val="single"/>
        </w:rPr>
      </w:pPr>
      <w:r w:rsidRPr="00B330A4">
        <w:rPr>
          <w:u w:val="single"/>
        </w:rPr>
        <w:t>Lösung zu Aufgabe 4</w:t>
      </w:r>
    </w:p>
    <w:p w:rsidR="00423997" w:rsidRDefault="00423997" w:rsidP="00EA6B40">
      <w:r>
        <w:t>Qualitative Kriterien für die Investitionsentscheidung</w:t>
      </w:r>
    </w:p>
    <w:p w:rsidR="00423997" w:rsidRDefault="001F31FC" w:rsidP="00EA6B40">
      <w:r>
        <w:t>Energie</w:t>
      </w:r>
      <w:r w:rsidR="00136028">
        <w:t>effizienz</w:t>
      </w:r>
      <w:r>
        <w:t xml:space="preserve"> (Umweltbelastung)</w:t>
      </w:r>
    </w:p>
    <w:p w:rsidR="001F31FC" w:rsidRDefault="001F31FC" w:rsidP="00EA6B40">
      <w:r>
        <w:t>Qualität der hergestellten Produkte</w:t>
      </w:r>
    </w:p>
    <w:p w:rsidR="001F31FC" w:rsidRDefault="001F31FC" w:rsidP="00EA6B40">
      <w:r>
        <w:t>Ausschussquote</w:t>
      </w:r>
    </w:p>
    <w:p w:rsidR="001F31FC" w:rsidRDefault="00136028" w:rsidP="00EA6B40">
      <w:r>
        <w:t>Recyclingquote</w:t>
      </w:r>
    </w:p>
    <w:p w:rsidR="00B330A4" w:rsidRDefault="00B330A4" w:rsidP="00EA6B40">
      <w:r>
        <w:t>Garantiezeit</w:t>
      </w:r>
    </w:p>
    <w:p w:rsidR="00B330A4" w:rsidRDefault="00B330A4" w:rsidP="00EA6B40">
      <w:r>
        <w:t>Serviceleistungen</w:t>
      </w:r>
    </w:p>
    <w:p w:rsidR="00423997" w:rsidRPr="006610D4" w:rsidRDefault="00423997" w:rsidP="00EA6B40"/>
    <w:sectPr w:rsidR="00423997" w:rsidRPr="006610D4" w:rsidSect="002D607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CBA" w:rsidRDefault="00DE4CBA" w:rsidP="00EA6B40">
      <w:r>
        <w:separator/>
      </w:r>
    </w:p>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p w:rsidR="00DE4CBA" w:rsidRDefault="00DE4CBA" w:rsidP="00730CA9"/>
    <w:p w:rsidR="00DE4CBA" w:rsidRDefault="00DE4CBA" w:rsidP="00730CA9"/>
    <w:p w:rsidR="00DE4CBA" w:rsidRDefault="00DE4CBA" w:rsidP="00083F0D"/>
    <w:p w:rsidR="00DE4CBA" w:rsidRDefault="00DE4CBA" w:rsidP="00083F0D"/>
  </w:endnote>
  <w:endnote w:type="continuationSeparator" w:id="0">
    <w:p w:rsidR="00DE4CBA" w:rsidRDefault="00DE4CBA" w:rsidP="00EA6B40">
      <w:r>
        <w:continuationSeparator/>
      </w:r>
    </w:p>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p w:rsidR="00DE4CBA" w:rsidRDefault="00DE4CBA" w:rsidP="00730CA9"/>
    <w:p w:rsidR="00DE4CBA" w:rsidRDefault="00DE4CBA" w:rsidP="00730CA9"/>
    <w:p w:rsidR="00DE4CBA" w:rsidRDefault="00DE4CBA" w:rsidP="00083F0D"/>
    <w:p w:rsidR="00DE4CBA" w:rsidRDefault="00DE4CBA" w:rsidP="00083F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Kristen ITC">
    <w:altName w:val="Zapfino"/>
    <w:panose1 w:val="020B0604020202020204"/>
    <w:charset w:val="00"/>
    <w:family w:val="script"/>
    <w:pitch w:val="variable"/>
    <w:sig w:usb0="00000003" w:usb1="00000000" w:usb2="00000000" w:usb3="00000000" w:csb0="00000001" w:csb1="00000000"/>
  </w:font>
  <w:font w:name="Webdings">
    <w:panose1 w:val="05030102010509060703"/>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569995721"/>
      <w:docPartObj>
        <w:docPartGallery w:val="Page Numbers (Bottom of Page)"/>
        <w:docPartUnique/>
      </w:docPartObj>
    </w:sdtPr>
    <w:sdtEndPr>
      <w:rPr>
        <w:rStyle w:val="Seitenzahl"/>
      </w:rPr>
    </w:sdtEndPr>
    <w:sdtContent>
      <w:p w:rsidR="005A78E0" w:rsidRDefault="005A78E0" w:rsidP="00B61C4F">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692EB4" w:rsidRDefault="00692EB4" w:rsidP="00EA6B40">
    <w:pPr>
      <w:pStyle w:val="Fuzeile"/>
      <w:rPr>
        <w:rStyle w:val="Seitenzahl"/>
      </w:rPr>
    </w:pPr>
    <w:r>
      <w:rPr>
        <w:rStyle w:val="Seitenzahl"/>
      </w:rPr>
      <w:fldChar w:fldCharType="begin"/>
    </w:r>
    <w:r>
      <w:rPr>
        <w:rStyle w:val="Seitenzahl"/>
      </w:rPr>
      <w:instrText xml:space="preserve"> PAGE </w:instrText>
    </w:r>
    <w:r>
      <w:rPr>
        <w:rStyle w:val="Seitenzahl"/>
      </w:rPr>
      <w:fldChar w:fldCharType="end"/>
    </w:r>
  </w:p>
  <w:p w:rsidR="00573CAF" w:rsidRDefault="00573CAF" w:rsidP="00EA6B40">
    <w:pPr>
      <w:pStyle w:val="Fuzeile"/>
      <w:rPr>
        <w:rStyle w:val="Seitenzahl"/>
      </w:rPr>
    </w:pPr>
  </w:p>
  <w:p w:rsidR="00573CAF" w:rsidRDefault="00573CAF" w:rsidP="00EA6B40">
    <w:pPr>
      <w:pStyle w:val="Fuzeile"/>
    </w:pPr>
  </w:p>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270243125"/>
      <w:docPartObj>
        <w:docPartGallery w:val="Page Numbers (Bottom of Page)"/>
        <w:docPartUnique/>
      </w:docPartObj>
    </w:sdtPr>
    <w:sdtEndPr>
      <w:rPr>
        <w:rStyle w:val="Seitenzahl"/>
      </w:rPr>
    </w:sdtEndPr>
    <w:sdtContent>
      <w:p w:rsidR="005A78E0" w:rsidRDefault="005A78E0" w:rsidP="00B61C4F">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4</w:t>
        </w:r>
        <w:r>
          <w:rPr>
            <w:rStyle w:val="Seitenzahl"/>
          </w:rPr>
          <w:fldChar w:fldCharType="end"/>
        </w:r>
      </w:p>
    </w:sdtContent>
  </w:sdt>
  <w:p w:rsidR="00692EB4" w:rsidRDefault="00692EB4" w:rsidP="00EA6B40">
    <w:pPr>
      <w:pStyle w:val="Fuzeile"/>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CBA" w:rsidRDefault="00DE4CBA" w:rsidP="00EA6B40">
      <w:r>
        <w:separator/>
      </w:r>
    </w:p>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p w:rsidR="00DE4CBA" w:rsidRDefault="00DE4CBA" w:rsidP="00730CA9"/>
    <w:p w:rsidR="00DE4CBA" w:rsidRDefault="00DE4CBA" w:rsidP="00730CA9"/>
    <w:p w:rsidR="00DE4CBA" w:rsidRDefault="00DE4CBA" w:rsidP="00083F0D"/>
    <w:p w:rsidR="00DE4CBA" w:rsidRDefault="00DE4CBA" w:rsidP="00083F0D"/>
  </w:footnote>
  <w:footnote w:type="continuationSeparator" w:id="0">
    <w:p w:rsidR="00DE4CBA" w:rsidRDefault="00DE4CBA" w:rsidP="00EA6B40">
      <w:r>
        <w:continuationSeparator/>
      </w:r>
    </w:p>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rsidP="00EA6B40"/>
    <w:p w:rsidR="00DE4CBA" w:rsidRDefault="00DE4CBA"/>
    <w:p w:rsidR="00DE4CBA" w:rsidRDefault="00DE4CBA" w:rsidP="00730CA9"/>
    <w:p w:rsidR="00DE4CBA" w:rsidRDefault="00DE4CBA" w:rsidP="00730CA9"/>
    <w:p w:rsidR="00DE4CBA" w:rsidRDefault="00DE4CBA" w:rsidP="00083F0D"/>
    <w:p w:rsidR="00DE4CBA" w:rsidRDefault="00DE4CBA" w:rsidP="00083F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p w:rsidR="00573CAF" w:rsidRDefault="00573CAF" w:rsidP="00EA6B4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8"/>
      <w:gridCol w:w="995"/>
      <w:gridCol w:w="5242"/>
      <w:gridCol w:w="1497"/>
    </w:tblGrid>
    <w:tr w:rsidR="00573CAF" w:rsidTr="00B862B2">
      <w:trPr>
        <w:trHeight w:val="382"/>
      </w:trPr>
      <w:tc>
        <w:tcPr>
          <w:tcW w:w="1354" w:type="dxa"/>
          <w:vMerge w:val="restart"/>
          <w:shd w:val="clear" w:color="auto" w:fill="auto"/>
        </w:tcPr>
        <w:p w:rsidR="00573CAF" w:rsidRDefault="00692EB4" w:rsidP="00EA6B40">
          <w:pPr>
            <w:pStyle w:val="Kopfzeile"/>
          </w:pPr>
          <w:r>
            <w:t>BBS Logo</w:t>
          </w:r>
        </w:p>
      </w:tc>
      <w:tc>
        <w:tcPr>
          <w:tcW w:w="1006" w:type="dxa"/>
          <w:shd w:val="clear" w:color="auto" w:fill="auto"/>
          <w:vAlign w:val="center"/>
        </w:tcPr>
        <w:p w:rsidR="00573CAF" w:rsidRPr="00B862B2" w:rsidRDefault="00573CAF" w:rsidP="00EA6B40">
          <w:pPr>
            <w:pStyle w:val="Kopfzeile"/>
          </w:pPr>
          <w:r w:rsidRPr="00B862B2">
            <w:t>BGW 12</w:t>
          </w:r>
        </w:p>
      </w:tc>
      <w:tc>
        <w:tcPr>
          <w:tcW w:w="5406" w:type="dxa"/>
          <w:shd w:val="clear" w:color="auto" w:fill="auto"/>
          <w:vAlign w:val="center"/>
        </w:tcPr>
        <w:p w:rsidR="00573CAF" w:rsidRPr="00B862B2" w:rsidRDefault="00573CAF" w:rsidP="00EA6B40">
          <w:pPr>
            <w:pStyle w:val="Kopfzeile"/>
          </w:pPr>
          <w:r w:rsidRPr="00B862B2">
            <w:t>LG 4 – Ziele, Aufgaben und Prozesse der Investition und Finanzierung</w:t>
          </w:r>
        </w:p>
      </w:tc>
      <w:tc>
        <w:tcPr>
          <w:tcW w:w="1520" w:type="dxa"/>
          <w:shd w:val="clear" w:color="auto" w:fill="auto"/>
          <w:vAlign w:val="center"/>
        </w:tcPr>
        <w:p w:rsidR="00573CAF" w:rsidRPr="00B862B2" w:rsidRDefault="00573CAF" w:rsidP="00EA6B40">
          <w:pPr>
            <w:pStyle w:val="Kopfzeile"/>
          </w:pPr>
          <w:r w:rsidRPr="00B862B2">
            <w:t>Datum:</w:t>
          </w:r>
        </w:p>
      </w:tc>
    </w:tr>
    <w:tr w:rsidR="00573CAF" w:rsidTr="00B862B2">
      <w:trPr>
        <w:trHeight w:val="383"/>
      </w:trPr>
      <w:tc>
        <w:tcPr>
          <w:tcW w:w="1354" w:type="dxa"/>
          <w:vMerge/>
          <w:shd w:val="clear" w:color="auto" w:fill="auto"/>
        </w:tcPr>
        <w:p w:rsidR="00573CAF" w:rsidRDefault="00573CAF" w:rsidP="00EA6B40">
          <w:pPr>
            <w:pStyle w:val="Kopfzeile"/>
          </w:pPr>
        </w:p>
      </w:tc>
      <w:tc>
        <w:tcPr>
          <w:tcW w:w="7932" w:type="dxa"/>
          <w:gridSpan w:val="3"/>
          <w:shd w:val="clear" w:color="auto" w:fill="auto"/>
          <w:vAlign w:val="center"/>
        </w:tcPr>
        <w:p w:rsidR="00573CAF" w:rsidRPr="00B862B2" w:rsidRDefault="00573CAF" w:rsidP="00EA6B40">
          <w:pPr>
            <w:pStyle w:val="Kopfzeile"/>
          </w:pPr>
          <w:r w:rsidRPr="00B862B2">
            <w:t>Statische Investition</w:t>
          </w:r>
          <w:r w:rsidR="00973F32">
            <w:t>s</w:t>
          </w:r>
          <w:r w:rsidR="00730CA9">
            <w:t>verfahren</w:t>
          </w:r>
        </w:p>
      </w:tc>
    </w:tr>
  </w:tbl>
  <w:p w:rsidR="00573CAF" w:rsidRDefault="00573CAF" w:rsidP="00EA6B4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C7FB8"/>
    <w:multiLevelType w:val="hybridMultilevel"/>
    <w:tmpl w:val="ED4C2A96"/>
    <w:lvl w:ilvl="0" w:tplc="DC568146">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D019D1"/>
    <w:multiLevelType w:val="hybridMultilevel"/>
    <w:tmpl w:val="9E664868"/>
    <w:lvl w:ilvl="0" w:tplc="EB38779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1A60FDD"/>
    <w:multiLevelType w:val="hybridMultilevel"/>
    <w:tmpl w:val="6952F5AC"/>
    <w:lvl w:ilvl="0" w:tplc="56EACC4E">
      <w:start w:val="10"/>
      <w:numFmt w:val="bullet"/>
      <w:lvlText w:val="-"/>
      <w:lvlJc w:val="left"/>
      <w:pPr>
        <w:ind w:left="391" w:hanging="360"/>
      </w:pPr>
      <w:rPr>
        <w:rFonts w:ascii="Arial" w:eastAsia="Times New Roman" w:hAnsi="Arial" w:cs="Arial" w:hint="default"/>
      </w:rPr>
    </w:lvl>
    <w:lvl w:ilvl="1" w:tplc="04070003" w:tentative="1">
      <w:start w:val="1"/>
      <w:numFmt w:val="bullet"/>
      <w:lvlText w:val="o"/>
      <w:lvlJc w:val="left"/>
      <w:pPr>
        <w:ind w:left="1111" w:hanging="360"/>
      </w:pPr>
      <w:rPr>
        <w:rFonts w:ascii="Courier New" w:hAnsi="Courier New" w:cs="Courier New" w:hint="default"/>
      </w:rPr>
    </w:lvl>
    <w:lvl w:ilvl="2" w:tplc="04070005" w:tentative="1">
      <w:start w:val="1"/>
      <w:numFmt w:val="bullet"/>
      <w:lvlText w:val=""/>
      <w:lvlJc w:val="left"/>
      <w:pPr>
        <w:ind w:left="1831" w:hanging="360"/>
      </w:pPr>
      <w:rPr>
        <w:rFonts w:ascii="Wingdings" w:hAnsi="Wingdings" w:hint="default"/>
      </w:rPr>
    </w:lvl>
    <w:lvl w:ilvl="3" w:tplc="04070001" w:tentative="1">
      <w:start w:val="1"/>
      <w:numFmt w:val="bullet"/>
      <w:lvlText w:val=""/>
      <w:lvlJc w:val="left"/>
      <w:pPr>
        <w:ind w:left="2551" w:hanging="360"/>
      </w:pPr>
      <w:rPr>
        <w:rFonts w:ascii="Symbol" w:hAnsi="Symbol" w:hint="default"/>
      </w:rPr>
    </w:lvl>
    <w:lvl w:ilvl="4" w:tplc="04070003" w:tentative="1">
      <w:start w:val="1"/>
      <w:numFmt w:val="bullet"/>
      <w:lvlText w:val="o"/>
      <w:lvlJc w:val="left"/>
      <w:pPr>
        <w:ind w:left="3271" w:hanging="360"/>
      </w:pPr>
      <w:rPr>
        <w:rFonts w:ascii="Courier New" w:hAnsi="Courier New" w:cs="Courier New" w:hint="default"/>
      </w:rPr>
    </w:lvl>
    <w:lvl w:ilvl="5" w:tplc="04070005" w:tentative="1">
      <w:start w:val="1"/>
      <w:numFmt w:val="bullet"/>
      <w:lvlText w:val=""/>
      <w:lvlJc w:val="left"/>
      <w:pPr>
        <w:ind w:left="3991" w:hanging="360"/>
      </w:pPr>
      <w:rPr>
        <w:rFonts w:ascii="Wingdings" w:hAnsi="Wingdings" w:hint="default"/>
      </w:rPr>
    </w:lvl>
    <w:lvl w:ilvl="6" w:tplc="04070001" w:tentative="1">
      <w:start w:val="1"/>
      <w:numFmt w:val="bullet"/>
      <w:lvlText w:val=""/>
      <w:lvlJc w:val="left"/>
      <w:pPr>
        <w:ind w:left="4711" w:hanging="360"/>
      </w:pPr>
      <w:rPr>
        <w:rFonts w:ascii="Symbol" w:hAnsi="Symbol" w:hint="default"/>
      </w:rPr>
    </w:lvl>
    <w:lvl w:ilvl="7" w:tplc="04070003" w:tentative="1">
      <w:start w:val="1"/>
      <w:numFmt w:val="bullet"/>
      <w:lvlText w:val="o"/>
      <w:lvlJc w:val="left"/>
      <w:pPr>
        <w:ind w:left="5431" w:hanging="360"/>
      </w:pPr>
      <w:rPr>
        <w:rFonts w:ascii="Courier New" w:hAnsi="Courier New" w:cs="Courier New" w:hint="default"/>
      </w:rPr>
    </w:lvl>
    <w:lvl w:ilvl="8" w:tplc="04070005" w:tentative="1">
      <w:start w:val="1"/>
      <w:numFmt w:val="bullet"/>
      <w:lvlText w:val=""/>
      <w:lvlJc w:val="left"/>
      <w:pPr>
        <w:ind w:left="6151" w:hanging="360"/>
      </w:pPr>
      <w:rPr>
        <w:rFonts w:ascii="Wingdings" w:hAnsi="Wingdings" w:hint="default"/>
      </w:rPr>
    </w:lvl>
  </w:abstractNum>
  <w:abstractNum w:abstractNumId="3" w15:restartNumberingAfterBreak="0">
    <w:nsid w:val="759E758B"/>
    <w:multiLevelType w:val="hybridMultilevel"/>
    <w:tmpl w:val="EB8017E2"/>
    <w:lvl w:ilvl="0" w:tplc="05EC987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A322CF9"/>
    <w:multiLevelType w:val="hybridMultilevel"/>
    <w:tmpl w:val="89CCE9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D1B"/>
    <w:rsid w:val="00000E92"/>
    <w:rsid w:val="0000103C"/>
    <w:rsid w:val="00004529"/>
    <w:rsid w:val="00005AE8"/>
    <w:rsid w:val="00007CD9"/>
    <w:rsid w:val="000100D7"/>
    <w:rsid w:val="00021604"/>
    <w:rsid w:val="00022767"/>
    <w:rsid w:val="00030F6F"/>
    <w:rsid w:val="0003147F"/>
    <w:rsid w:val="00031D8A"/>
    <w:rsid w:val="00032435"/>
    <w:rsid w:val="00032FA8"/>
    <w:rsid w:val="00033C92"/>
    <w:rsid w:val="00035001"/>
    <w:rsid w:val="00035D0B"/>
    <w:rsid w:val="00040023"/>
    <w:rsid w:val="00040BDA"/>
    <w:rsid w:val="000432FE"/>
    <w:rsid w:val="000448A7"/>
    <w:rsid w:val="00044CA6"/>
    <w:rsid w:val="00046938"/>
    <w:rsid w:val="00051007"/>
    <w:rsid w:val="00054DCC"/>
    <w:rsid w:val="00057135"/>
    <w:rsid w:val="0006340B"/>
    <w:rsid w:val="000651C2"/>
    <w:rsid w:val="00065B8B"/>
    <w:rsid w:val="0006787A"/>
    <w:rsid w:val="00070B06"/>
    <w:rsid w:val="00070F14"/>
    <w:rsid w:val="00071250"/>
    <w:rsid w:val="0007642A"/>
    <w:rsid w:val="00083F0D"/>
    <w:rsid w:val="00085568"/>
    <w:rsid w:val="00092198"/>
    <w:rsid w:val="0009261E"/>
    <w:rsid w:val="00093AC6"/>
    <w:rsid w:val="000963F6"/>
    <w:rsid w:val="00096FB0"/>
    <w:rsid w:val="00097FDB"/>
    <w:rsid w:val="000A46EF"/>
    <w:rsid w:val="000A68F1"/>
    <w:rsid w:val="000B364F"/>
    <w:rsid w:val="000B6C97"/>
    <w:rsid w:val="000C1EDD"/>
    <w:rsid w:val="000C44ED"/>
    <w:rsid w:val="000C4B28"/>
    <w:rsid w:val="000C6D1B"/>
    <w:rsid w:val="000C6DDD"/>
    <w:rsid w:val="000C73D9"/>
    <w:rsid w:val="000D150D"/>
    <w:rsid w:val="000D183E"/>
    <w:rsid w:val="000D6480"/>
    <w:rsid w:val="000E017C"/>
    <w:rsid w:val="000E02F0"/>
    <w:rsid w:val="000E0512"/>
    <w:rsid w:val="000E1B17"/>
    <w:rsid w:val="000E46E1"/>
    <w:rsid w:val="000E67AA"/>
    <w:rsid w:val="000F06AB"/>
    <w:rsid w:val="000F0A61"/>
    <w:rsid w:val="000F15C9"/>
    <w:rsid w:val="000F29BE"/>
    <w:rsid w:val="000F3E68"/>
    <w:rsid w:val="00100500"/>
    <w:rsid w:val="00100BF8"/>
    <w:rsid w:val="001047C4"/>
    <w:rsid w:val="00111368"/>
    <w:rsid w:val="0012520A"/>
    <w:rsid w:val="00125373"/>
    <w:rsid w:val="00130AF9"/>
    <w:rsid w:val="001328F8"/>
    <w:rsid w:val="0013404D"/>
    <w:rsid w:val="001353B3"/>
    <w:rsid w:val="00136028"/>
    <w:rsid w:val="001377FD"/>
    <w:rsid w:val="00137998"/>
    <w:rsid w:val="001379A4"/>
    <w:rsid w:val="001403E3"/>
    <w:rsid w:val="00141D41"/>
    <w:rsid w:val="00142650"/>
    <w:rsid w:val="00153DE1"/>
    <w:rsid w:val="00156D1E"/>
    <w:rsid w:val="00161064"/>
    <w:rsid w:val="00161A8D"/>
    <w:rsid w:val="0016298A"/>
    <w:rsid w:val="00162C08"/>
    <w:rsid w:val="00163107"/>
    <w:rsid w:val="00163C4D"/>
    <w:rsid w:val="00166861"/>
    <w:rsid w:val="00170664"/>
    <w:rsid w:val="00173FF6"/>
    <w:rsid w:val="00175A25"/>
    <w:rsid w:val="001761B1"/>
    <w:rsid w:val="0017764A"/>
    <w:rsid w:val="001819D3"/>
    <w:rsid w:val="001856DC"/>
    <w:rsid w:val="00187985"/>
    <w:rsid w:val="00191A93"/>
    <w:rsid w:val="00191C84"/>
    <w:rsid w:val="001A0EC0"/>
    <w:rsid w:val="001A5860"/>
    <w:rsid w:val="001A5C36"/>
    <w:rsid w:val="001A630D"/>
    <w:rsid w:val="001A7AAE"/>
    <w:rsid w:val="001B11AE"/>
    <w:rsid w:val="001B1483"/>
    <w:rsid w:val="001B7B9F"/>
    <w:rsid w:val="001C0A7D"/>
    <w:rsid w:val="001C296F"/>
    <w:rsid w:val="001C3A18"/>
    <w:rsid w:val="001C4E29"/>
    <w:rsid w:val="001D0F73"/>
    <w:rsid w:val="001D1341"/>
    <w:rsid w:val="001D2190"/>
    <w:rsid w:val="001D67FE"/>
    <w:rsid w:val="001D6FD2"/>
    <w:rsid w:val="001E5033"/>
    <w:rsid w:val="001E5267"/>
    <w:rsid w:val="001E54CA"/>
    <w:rsid w:val="001F26C1"/>
    <w:rsid w:val="001F31FC"/>
    <w:rsid w:val="001F3380"/>
    <w:rsid w:val="001F3CB9"/>
    <w:rsid w:val="001F3D0D"/>
    <w:rsid w:val="001F4714"/>
    <w:rsid w:val="001F48FC"/>
    <w:rsid w:val="001F4D85"/>
    <w:rsid w:val="002068C6"/>
    <w:rsid w:val="002074CB"/>
    <w:rsid w:val="00207C5C"/>
    <w:rsid w:val="002111BF"/>
    <w:rsid w:val="00213354"/>
    <w:rsid w:val="002136C3"/>
    <w:rsid w:val="00216740"/>
    <w:rsid w:val="00220EF9"/>
    <w:rsid w:val="00224DD1"/>
    <w:rsid w:val="002254EC"/>
    <w:rsid w:val="00227F6B"/>
    <w:rsid w:val="002323F4"/>
    <w:rsid w:val="00233DB7"/>
    <w:rsid w:val="00234720"/>
    <w:rsid w:val="00236AB3"/>
    <w:rsid w:val="00236D73"/>
    <w:rsid w:val="00236F87"/>
    <w:rsid w:val="002374C5"/>
    <w:rsid w:val="00242D0B"/>
    <w:rsid w:val="002430A4"/>
    <w:rsid w:val="0024511A"/>
    <w:rsid w:val="00246283"/>
    <w:rsid w:val="00246A63"/>
    <w:rsid w:val="00253039"/>
    <w:rsid w:val="002533B4"/>
    <w:rsid w:val="0025376C"/>
    <w:rsid w:val="00255455"/>
    <w:rsid w:val="00261966"/>
    <w:rsid w:val="002646A9"/>
    <w:rsid w:val="0026580E"/>
    <w:rsid w:val="0027051E"/>
    <w:rsid w:val="00274445"/>
    <w:rsid w:val="00280411"/>
    <w:rsid w:val="00282CB3"/>
    <w:rsid w:val="00283473"/>
    <w:rsid w:val="00283982"/>
    <w:rsid w:val="00283C34"/>
    <w:rsid w:val="00292684"/>
    <w:rsid w:val="002926FE"/>
    <w:rsid w:val="002A1D79"/>
    <w:rsid w:val="002A32E9"/>
    <w:rsid w:val="002A62FF"/>
    <w:rsid w:val="002A7C0C"/>
    <w:rsid w:val="002B15E0"/>
    <w:rsid w:val="002B20DF"/>
    <w:rsid w:val="002B2D18"/>
    <w:rsid w:val="002B38FE"/>
    <w:rsid w:val="002B3B7E"/>
    <w:rsid w:val="002C6629"/>
    <w:rsid w:val="002C6874"/>
    <w:rsid w:val="002C79A7"/>
    <w:rsid w:val="002D4349"/>
    <w:rsid w:val="002D4659"/>
    <w:rsid w:val="002D5E61"/>
    <w:rsid w:val="002D6072"/>
    <w:rsid w:val="002D7062"/>
    <w:rsid w:val="002D79D4"/>
    <w:rsid w:val="002E051D"/>
    <w:rsid w:val="002E1A65"/>
    <w:rsid w:val="002E2D08"/>
    <w:rsid w:val="002E3FDC"/>
    <w:rsid w:val="002E42FF"/>
    <w:rsid w:val="002E4E1C"/>
    <w:rsid w:val="002E5681"/>
    <w:rsid w:val="002F128C"/>
    <w:rsid w:val="002F20FE"/>
    <w:rsid w:val="002F6951"/>
    <w:rsid w:val="002F77E0"/>
    <w:rsid w:val="00301CBE"/>
    <w:rsid w:val="00303E6E"/>
    <w:rsid w:val="0030721D"/>
    <w:rsid w:val="00311BBF"/>
    <w:rsid w:val="00314C82"/>
    <w:rsid w:val="003157BA"/>
    <w:rsid w:val="00320DC4"/>
    <w:rsid w:val="003248BA"/>
    <w:rsid w:val="00326839"/>
    <w:rsid w:val="00327EFC"/>
    <w:rsid w:val="003355EB"/>
    <w:rsid w:val="00340B21"/>
    <w:rsid w:val="003422DC"/>
    <w:rsid w:val="0035012E"/>
    <w:rsid w:val="003506C4"/>
    <w:rsid w:val="003548FF"/>
    <w:rsid w:val="00355BA4"/>
    <w:rsid w:val="00356440"/>
    <w:rsid w:val="00361DD1"/>
    <w:rsid w:val="003635D1"/>
    <w:rsid w:val="00363C2F"/>
    <w:rsid w:val="00364B53"/>
    <w:rsid w:val="0036714C"/>
    <w:rsid w:val="0036762A"/>
    <w:rsid w:val="003735E4"/>
    <w:rsid w:val="00373EA7"/>
    <w:rsid w:val="003742BA"/>
    <w:rsid w:val="00374F6C"/>
    <w:rsid w:val="00384A5A"/>
    <w:rsid w:val="00385702"/>
    <w:rsid w:val="00385C63"/>
    <w:rsid w:val="003914BC"/>
    <w:rsid w:val="003927E1"/>
    <w:rsid w:val="00392D13"/>
    <w:rsid w:val="00397212"/>
    <w:rsid w:val="003975C7"/>
    <w:rsid w:val="003A67A2"/>
    <w:rsid w:val="003A7781"/>
    <w:rsid w:val="003B0613"/>
    <w:rsid w:val="003B0F35"/>
    <w:rsid w:val="003B1B41"/>
    <w:rsid w:val="003B25BD"/>
    <w:rsid w:val="003B4BA7"/>
    <w:rsid w:val="003C2EFF"/>
    <w:rsid w:val="003C3B5D"/>
    <w:rsid w:val="003D077D"/>
    <w:rsid w:val="003E0F12"/>
    <w:rsid w:val="003E3D6C"/>
    <w:rsid w:val="003E5204"/>
    <w:rsid w:val="003E7082"/>
    <w:rsid w:val="003F0274"/>
    <w:rsid w:val="003F22E1"/>
    <w:rsid w:val="003F37BC"/>
    <w:rsid w:val="003F41C6"/>
    <w:rsid w:val="003F54AD"/>
    <w:rsid w:val="003F6E18"/>
    <w:rsid w:val="003F76A0"/>
    <w:rsid w:val="00402C32"/>
    <w:rsid w:val="00402DD4"/>
    <w:rsid w:val="0040524B"/>
    <w:rsid w:val="00406558"/>
    <w:rsid w:val="00410D5B"/>
    <w:rsid w:val="004139A4"/>
    <w:rsid w:val="004142B1"/>
    <w:rsid w:val="00414A90"/>
    <w:rsid w:val="0041677A"/>
    <w:rsid w:val="00423997"/>
    <w:rsid w:val="00426179"/>
    <w:rsid w:val="00433285"/>
    <w:rsid w:val="00436599"/>
    <w:rsid w:val="0043782E"/>
    <w:rsid w:val="00437E0F"/>
    <w:rsid w:val="0044235B"/>
    <w:rsid w:val="004431AC"/>
    <w:rsid w:val="00444558"/>
    <w:rsid w:val="00447397"/>
    <w:rsid w:val="0044789C"/>
    <w:rsid w:val="004478B8"/>
    <w:rsid w:val="00451CE3"/>
    <w:rsid w:val="00457214"/>
    <w:rsid w:val="00460AF2"/>
    <w:rsid w:val="0046104F"/>
    <w:rsid w:val="00462451"/>
    <w:rsid w:val="00465C3E"/>
    <w:rsid w:val="00470E67"/>
    <w:rsid w:val="00476333"/>
    <w:rsid w:val="00476CA0"/>
    <w:rsid w:val="00480ED1"/>
    <w:rsid w:val="004837A8"/>
    <w:rsid w:val="00484346"/>
    <w:rsid w:val="00485506"/>
    <w:rsid w:val="00490DF4"/>
    <w:rsid w:val="00492D3D"/>
    <w:rsid w:val="00493734"/>
    <w:rsid w:val="004A1501"/>
    <w:rsid w:val="004A2C05"/>
    <w:rsid w:val="004A5E7F"/>
    <w:rsid w:val="004A7D17"/>
    <w:rsid w:val="004B1473"/>
    <w:rsid w:val="004B1C6A"/>
    <w:rsid w:val="004B2B4E"/>
    <w:rsid w:val="004B3E7D"/>
    <w:rsid w:val="004B3EB4"/>
    <w:rsid w:val="004B688D"/>
    <w:rsid w:val="004C10A5"/>
    <w:rsid w:val="004C70C5"/>
    <w:rsid w:val="004C7DB1"/>
    <w:rsid w:val="004D53DC"/>
    <w:rsid w:val="004D6B48"/>
    <w:rsid w:val="004D700F"/>
    <w:rsid w:val="004F3A84"/>
    <w:rsid w:val="004F47A4"/>
    <w:rsid w:val="004F6524"/>
    <w:rsid w:val="004F6A7C"/>
    <w:rsid w:val="005006AD"/>
    <w:rsid w:val="00501E32"/>
    <w:rsid w:val="00502760"/>
    <w:rsid w:val="00502F94"/>
    <w:rsid w:val="005034C8"/>
    <w:rsid w:val="005041C7"/>
    <w:rsid w:val="0050520A"/>
    <w:rsid w:val="0051385D"/>
    <w:rsid w:val="00522C76"/>
    <w:rsid w:val="00534949"/>
    <w:rsid w:val="005368E9"/>
    <w:rsid w:val="00536BE7"/>
    <w:rsid w:val="0054017C"/>
    <w:rsid w:val="0054610B"/>
    <w:rsid w:val="00550880"/>
    <w:rsid w:val="005539BB"/>
    <w:rsid w:val="005554B4"/>
    <w:rsid w:val="00560178"/>
    <w:rsid w:val="00560AE8"/>
    <w:rsid w:val="00561D32"/>
    <w:rsid w:val="00561F2D"/>
    <w:rsid w:val="005645AA"/>
    <w:rsid w:val="005706D3"/>
    <w:rsid w:val="00570F14"/>
    <w:rsid w:val="005733E7"/>
    <w:rsid w:val="00573CAF"/>
    <w:rsid w:val="005760EC"/>
    <w:rsid w:val="0058186F"/>
    <w:rsid w:val="00582AE4"/>
    <w:rsid w:val="00583EE0"/>
    <w:rsid w:val="005845B6"/>
    <w:rsid w:val="0058727F"/>
    <w:rsid w:val="00590EF0"/>
    <w:rsid w:val="00593958"/>
    <w:rsid w:val="005A0932"/>
    <w:rsid w:val="005A1919"/>
    <w:rsid w:val="005A5CA9"/>
    <w:rsid w:val="005A6943"/>
    <w:rsid w:val="005A78E0"/>
    <w:rsid w:val="005B14E3"/>
    <w:rsid w:val="005B34FD"/>
    <w:rsid w:val="005C53C1"/>
    <w:rsid w:val="005C5591"/>
    <w:rsid w:val="005C5A4A"/>
    <w:rsid w:val="005D3C34"/>
    <w:rsid w:val="005D4B04"/>
    <w:rsid w:val="005D5808"/>
    <w:rsid w:val="005E0681"/>
    <w:rsid w:val="005E5935"/>
    <w:rsid w:val="005F1D1C"/>
    <w:rsid w:val="005F3F0D"/>
    <w:rsid w:val="005F4830"/>
    <w:rsid w:val="005F6B5A"/>
    <w:rsid w:val="005F6E03"/>
    <w:rsid w:val="0060000A"/>
    <w:rsid w:val="006042B2"/>
    <w:rsid w:val="006077F3"/>
    <w:rsid w:val="00607939"/>
    <w:rsid w:val="00613E35"/>
    <w:rsid w:val="00616449"/>
    <w:rsid w:val="006165E4"/>
    <w:rsid w:val="006169A4"/>
    <w:rsid w:val="00622F69"/>
    <w:rsid w:val="00624732"/>
    <w:rsid w:val="00626B3F"/>
    <w:rsid w:val="00627C20"/>
    <w:rsid w:val="0063270C"/>
    <w:rsid w:val="006410C3"/>
    <w:rsid w:val="00641678"/>
    <w:rsid w:val="00645412"/>
    <w:rsid w:val="00646151"/>
    <w:rsid w:val="00650385"/>
    <w:rsid w:val="006545B7"/>
    <w:rsid w:val="006567B3"/>
    <w:rsid w:val="00660069"/>
    <w:rsid w:val="00660FBF"/>
    <w:rsid w:val="006610D4"/>
    <w:rsid w:val="006621B5"/>
    <w:rsid w:val="00664388"/>
    <w:rsid w:val="0066497D"/>
    <w:rsid w:val="00667A8F"/>
    <w:rsid w:val="006709AB"/>
    <w:rsid w:val="00671492"/>
    <w:rsid w:val="00672F70"/>
    <w:rsid w:val="00682771"/>
    <w:rsid w:val="00683892"/>
    <w:rsid w:val="00686C8F"/>
    <w:rsid w:val="00690F67"/>
    <w:rsid w:val="00692EB4"/>
    <w:rsid w:val="00692FCE"/>
    <w:rsid w:val="00695071"/>
    <w:rsid w:val="00695C9A"/>
    <w:rsid w:val="00696069"/>
    <w:rsid w:val="00696F49"/>
    <w:rsid w:val="006A74B7"/>
    <w:rsid w:val="006B09A0"/>
    <w:rsid w:val="006B23C2"/>
    <w:rsid w:val="006C1EFF"/>
    <w:rsid w:val="006D0554"/>
    <w:rsid w:val="006D114F"/>
    <w:rsid w:val="006D1365"/>
    <w:rsid w:val="006D27C3"/>
    <w:rsid w:val="006D27DE"/>
    <w:rsid w:val="006D6E3A"/>
    <w:rsid w:val="006E1E22"/>
    <w:rsid w:val="006E1E26"/>
    <w:rsid w:val="006E4D22"/>
    <w:rsid w:val="006E5AE8"/>
    <w:rsid w:val="006E744D"/>
    <w:rsid w:val="006F13EA"/>
    <w:rsid w:val="006F6AEE"/>
    <w:rsid w:val="00702814"/>
    <w:rsid w:val="00703E5D"/>
    <w:rsid w:val="00706E3D"/>
    <w:rsid w:val="007076F0"/>
    <w:rsid w:val="00712464"/>
    <w:rsid w:val="00712477"/>
    <w:rsid w:val="00712C26"/>
    <w:rsid w:val="00714998"/>
    <w:rsid w:val="0071599C"/>
    <w:rsid w:val="0072299A"/>
    <w:rsid w:val="00725C70"/>
    <w:rsid w:val="00730CA9"/>
    <w:rsid w:val="007310CF"/>
    <w:rsid w:val="00736ABD"/>
    <w:rsid w:val="00740A6C"/>
    <w:rsid w:val="00742623"/>
    <w:rsid w:val="00742DB2"/>
    <w:rsid w:val="0074775C"/>
    <w:rsid w:val="00750A14"/>
    <w:rsid w:val="00750A18"/>
    <w:rsid w:val="00752CDB"/>
    <w:rsid w:val="00757709"/>
    <w:rsid w:val="007625E2"/>
    <w:rsid w:val="0076500D"/>
    <w:rsid w:val="00766997"/>
    <w:rsid w:val="00766B2B"/>
    <w:rsid w:val="00767779"/>
    <w:rsid w:val="00771D34"/>
    <w:rsid w:val="007722CE"/>
    <w:rsid w:val="00774B61"/>
    <w:rsid w:val="007816C7"/>
    <w:rsid w:val="007830C9"/>
    <w:rsid w:val="00783246"/>
    <w:rsid w:val="00790D2B"/>
    <w:rsid w:val="00791F9F"/>
    <w:rsid w:val="00792279"/>
    <w:rsid w:val="00792AEE"/>
    <w:rsid w:val="00793210"/>
    <w:rsid w:val="00795E70"/>
    <w:rsid w:val="0079609D"/>
    <w:rsid w:val="007A05D4"/>
    <w:rsid w:val="007A05DF"/>
    <w:rsid w:val="007A38AE"/>
    <w:rsid w:val="007A6FAD"/>
    <w:rsid w:val="007A710E"/>
    <w:rsid w:val="007A7BFA"/>
    <w:rsid w:val="007B0721"/>
    <w:rsid w:val="007B5DA2"/>
    <w:rsid w:val="007B6A1E"/>
    <w:rsid w:val="007C3424"/>
    <w:rsid w:val="007C505E"/>
    <w:rsid w:val="007C63B8"/>
    <w:rsid w:val="007C7BB3"/>
    <w:rsid w:val="007D11B0"/>
    <w:rsid w:val="007D2921"/>
    <w:rsid w:val="007D440E"/>
    <w:rsid w:val="007D578A"/>
    <w:rsid w:val="007D6129"/>
    <w:rsid w:val="007D6C48"/>
    <w:rsid w:val="007D7A23"/>
    <w:rsid w:val="007E2806"/>
    <w:rsid w:val="007E46F1"/>
    <w:rsid w:val="007F683D"/>
    <w:rsid w:val="007F7CB0"/>
    <w:rsid w:val="008056A7"/>
    <w:rsid w:val="00805AD9"/>
    <w:rsid w:val="008076BE"/>
    <w:rsid w:val="00807C3A"/>
    <w:rsid w:val="008109F0"/>
    <w:rsid w:val="00811122"/>
    <w:rsid w:val="00815C35"/>
    <w:rsid w:val="00820587"/>
    <w:rsid w:val="00830EC7"/>
    <w:rsid w:val="008329CB"/>
    <w:rsid w:val="00833E63"/>
    <w:rsid w:val="00835256"/>
    <w:rsid w:val="00835395"/>
    <w:rsid w:val="00842D6E"/>
    <w:rsid w:val="0084375E"/>
    <w:rsid w:val="00845075"/>
    <w:rsid w:val="0084795C"/>
    <w:rsid w:val="00861148"/>
    <w:rsid w:val="008626DC"/>
    <w:rsid w:val="00866B14"/>
    <w:rsid w:val="00875DDD"/>
    <w:rsid w:val="008761E5"/>
    <w:rsid w:val="0088718D"/>
    <w:rsid w:val="008930C2"/>
    <w:rsid w:val="00893451"/>
    <w:rsid w:val="00895A35"/>
    <w:rsid w:val="008A1684"/>
    <w:rsid w:val="008A45E3"/>
    <w:rsid w:val="008A775F"/>
    <w:rsid w:val="008B6A22"/>
    <w:rsid w:val="008C1CF7"/>
    <w:rsid w:val="008C3706"/>
    <w:rsid w:val="008C4573"/>
    <w:rsid w:val="008C4EB0"/>
    <w:rsid w:val="008C5E59"/>
    <w:rsid w:val="008C7899"/>
    <w:rsid w:val="008D01F8"/>
    <w:rsid w:val="008D265D"/>
    <w:rsid w:val="008F360F"/>
    <w:rsid w:val="008F4991"/>
    <w:rsid w:val="008F61E1"/>
    <w:rsid w:val="008F6234"/>
    <w:rsid w:val="008F7857"/>
    <w:rsid w:val="00905E1D"/>
    <w:rsid w:val="00906378"/>
    <w:rsid w:val="00914CB8"/>
    <w:rsid w:val="00914DE7"/>
    <w:rsid w:val="009208EA"/>
    <w:rsid w:val="00920E80"/>
    <w:rsid w:val="009217D8"/>
    <w:rsid w:val="009252C1"/>
    <w:rsid w:val="0092626B"/>
    <w:rsid w:val="00926B24"/>
    <w:rsid w:val="00927236"/>
    <w:rsid w:val="009276CB"/>
    <w:rsid w:val="009302AD"/>
    <w:rsid w:val="00936578"/>
    <w:rsid w:val="00940146"/>
    <w:rsid w:val="00940A91"/>
    <w:rsid w:val="00944825"/>
    <w:rsid w:val="009455AF"/>
    <w:rsid w:val="00945A8C"/>
    <w:rsid w:val="00947E0C"/>
    <w:rsid w:val="00954513"/>
    <w:rsid w:val="009552C1"/>
    <w:rsid w:val="009554AA"/>
    <w:rsid w:val="009555E1"/>
    <w:rsid w:val="00962E85"/>
    <w:rsid w:val="00964941"/>
    <w:rsid w:val="009649A0"/>
    <w:rsid w:val="00964FC4"/>
    <w:rsid w:val="0097157B"/>
    <w:rsid w:val="00972726"/>
    <w:rsid w:val="0097369F"/>
    <w:rsid w:val="009737D5"/>
    <w:rsid w:val="00973EF1"/>
    <w:rsid w:val="00973F32"/>
    <w:rsid w:val="009748CE"/>
    <w:rsid w:val="0097538E"/>
    <w:rsid w:val="009847B0"/>
    <w:rsid w:val="00986401"/>
    <w:rsid w:val="009905A9"/>
    <w:rsid w:val="009947E6"/>
    <w:rsid w:val="0099515C"/>
    <w:rsid w:val="00996CFF"/>
    <w:rsid w:val="009A1584"/>
    <w:rsid w:val="009A367D"/>
    <w:rsid w:val="009A3D77"/>
    <w:rsid w:val="009A4BE9"/>
    <w:rsid w:val="009A6E7E"/>
    <w:rsid w:val="009B1BD2"/>
    <w:rsid w:val="009B6299"/>
    <w:rsid w:val="009C0D75"/>
    <w:rsid w:val="009C235C"/>
    <w:rsid w:val="009C71B7"/>
    <w:rsid w:val="009D0E34"/>
    <w:rsid w:val="009D0FFC"/>
    <w:rsid w:val="009D1CE4"/>
    <w:rsid w:val="009D3D4E"/>
    <w:rsid w:val="009D4862"/>
    <w:rsid w:val="009D4DDB"/>
    <w:rsid w:val="009D5681"/>
    <w:rsid w:val="009D6F3E"/>
    <w:rsid w:val="009D7AB1"/>
    <w:rsid w:val="009E136A"/>
    <w:rsid w:val="009E32CE"/>
    <w:rsid w:val="009E6599"/>
    <w:rsid w:val="009F30B1"/>
    <w:rsid w:val="009F4B6B"/>
    <w:rsid w:val="009F7BD8"/>
    <w:rsid w:val="00A01F97"/>
    <w:rsid w:val="00A04384"/>
    <w:rsid w:val="00A04AEB"/>
    <w:rsid w:val="00A0605C"/>
    <w:rsid w:val="00A06B3C"/>
    <w:rsid w:val="00A07DA5"/>
    <w:rsid w:val="00A117CE"/>
    <w:rsid w:val="00A11C84"/>
    <w:rsid w:val="00A15213"/>
    <w:rsid w:val="00A20161"/>
    <w:rsid w:val="00A21D92"/>
    <w:rsid w:val="00A235FA"/>
    <w:rsid w:val="00A25C89"/>
    <w:rsid w:val="00A26FF3"/>
    <w:rsid w:val="00A30162"/>
    <w:rsid w:val="00A30184"/>
    <w:rsid w:val="00A305F8"/>
    <w:rsid w:val="00A34DAA"/>
    <w:rsid w:val="00A4113B"/>
    <w:rsid w:val="00A4211A"/>
    <w:rsid w:val="00A42270"/>
    <w:rsid w:val="00A45B0D"/>
    <w:rsid w:val="00A46B4E"/>
    <w:rsid w:val="00A502E9"/>
    <w:rsid w:val="00A64BE1"/>
    <w:rsid w:val="00A670B9"/>
    <w:rsid w:val="00A761C0"/>
    <w:rsid w:val="00A76705"/>
    <w:rsid w:val="00A8275C"/>
    <w:rsid w:val="00A83F80"/>
    <w:rsid w:val="00A90A2F"/>
    <w:rsid w:val="00A9116B"/>
    <w:rsid w:val="00A936DB"/>
    <w:rsid w:val="00A93AD8"/>
    <w:rsid w:val="00A9570D"/>
    <w:rsid w:val="00A95FBD"/>
    <w:rsid w:val="00AA1A67"/>
    <w:rsid w:val="00AA2353"/>
    <w:rsid w:val="00AA255E"/>
    <w:rsid w:val="00AA3A94"/>
    <w:rsid w:val="00AA3F92"/>
    <w:rsid w:val="00AA41C6"/>
    <w:rsid w:val="00AA6628"/>
    <w:rsid w:val="00AB057B"/>
    <w:rsid w:val="00AB3F4C"/>
    <w:rsid w:val="00AC1FE6"/>
    <w:rsid w:val="00AC3299"/>
    <w:rsid w:val="00AC51B7"/>
    <w:rsid w:val="00AC5638"/>
    <w:rsid w:val="00AC5907"/>
    <w:rsid w:val="00AD0044"/>
    <w:rsid w:val="00AD3090"/>
    <w:rsid w:val="00AD50FE"/>
    <w:rsid w:val="00AD6546"/>
    <w:rsid w:val="00AE3C1D"/>
    <w:rsid w:val="00AE55D6"/>
    <w:rsid w:val="00AE66B6"/>
    <w:rsid w:val="00AE7474"/>
    <w:rsid w:val="00AF0F60"/>
    <w:rsid w:val="00AF1C84"/>
    <w:rsid w:val="00AF3D40"/>
    <w:rsid w:val="00AF608F"/>
    <w:rsid w:val="00B01761"/>
    <w:rsid w:val="00B0370E"/>
    <w:rsid w:val="00B06393"/>
    <w:rsid w:val="00B13282"/>
    <w:rsid w:val="00B14977"/>
    <w:rsid w:val="00B1510E"/>
    <w:rsid w:val="00B17372"/>
    <w:rsid w:val="00B17D0D"/>
    <w:rsid w:val="00B216A0"/>
    <w:rsid w:val="00B220CC"/>
    <w:rsid w:val="00B2286F"/>
    <w:rsid w:val="00B24355"/>
    <w:rsid w:val="00B26630"/>
    <w:rsid w:val="00B27273"/>
    <w:rsid w:val="00B27D61"/>
    <w:rsid w:val="00B31A30"/>
    <w:rsid w:val="00B32C4B"/>
    <w:rsid w:val="00B330A4"/>
    <w:rsid w:val="00B33CB4"/>
    <w:rsid w:val="00B41B43"/>
    <w:rsid w:val="00B4561B"/>
    <w:rsid w:val="00B54CE8"/>
    <w:rsid w:val="00B62566"/>
    <w:rsid w:val="00B678B7"/>
    <w:rsid w:val="00B71224"/>
    <w:rsid w:val="00B71B0F"/>
    <w:rsid w:val="00B72EAF"/>
    <w:rsid w:val="00B73D94"/>
    <w:rsid w:val="00B74975"/>
    <w:rsid w:val="00B7753C"/>
    <w:rsid w:val="00B824B3"/>
    <w:rsid w:val="00B82782"/>
    <w:rsid w:val="00B82C74"/>
    <w:rsid w:val="00B82EA9"/>
    <w:rsid w:val="00B84B17"/>
    <w:rsid w:val="00B85AA9"/>
    <w:rsid w:val="00B862B2"/>
    <w:rsid w:val="00B93A7E"/>
    <w:rsid w:val="00BA79C2"/>
    <w:rsid w:val="00BA7B2D"/>
    <w:rsid w:val="00BB11C0"/>
    <w:rsid w:val="00BB2087"/>
    <w:rsid w:val="00BB28F8"/>
    <w:rsid w:val="00BB4329"/>
    <w:rsid w:val="00BB5B90"/>
    <w:rsid w:val="00BC77F5"/>
    <w:rsid w:val="00BC789C"/>
    <w:rsid w:val="00BD15B7"/>
    <w:rsid w:val="00BD240F"/>
    <w:rsid w:val="00BD3AE7"/>
    <w:rsid w:val="00BD5807"/>
    <w:rsid w:val="00BD656B"/>
    <w:rsid w:val="00BE22E7"/>
    <w:rsid w:val="00BE2864"/>
    <w:rsid w:val="00BE2DDA"/>
    <w:rsid w:val="00BE6085"/>
    <w:rsid w:val="00BE6B74"/>
    <w:rsid w:val="00BF166B"/>
    <w:rsid w:val="00BF1FE1"/>
    <w:rsid w:val="00BF32FE"/>
    <w:rsid w:val="00BF52DC"/>
    <w:rsid w:val="00C02E0A"/>
    <w:rsid w:val="00C035C0"/>
    <w:rsid w:val="00C0377E"/>
    <w:rsid w:val="00C03CEE"/>
    <w:rsid w:val="00C108D2"/>
    <w:rsid w:val="00C10C2A"/>
    <w:rsid w:val="00C12E2B"/>
    <w:rsid w:val="00C133E0"/>
    <w:rsid w:val="00C163A1"/>
    <w:rsid w:val="00C219FC"/>
    <w:rsid w:val="00C21AED"/>
    <w:rsid w:val="00C21E0F"/>
    <w:rsid w:val="00C21E53"/>
    <w:rsid w:val="00C31E20"/>
    <w:rsid w:val="00C31F76"/>
    <w:rsid w:val="00C328D2"/>
    <w:rsid w:val="00C41858"/>
    <w:rsid w:val="00C432EA"/>
    <w:rsid w:val="00C45D24"/>
    <w:rsid w:val="00C46B28"/>
    <w:rsid w:val="00C4756B"/>
    <w:rsid w:val="00C47A5F"/>
    <w:rsid w:val="00C47F30"/>
    <w:rsid w:val="00C53F8F"/>
    <w:rsid w:val="00C54588"/>
    <w:rsid w:val="00C548C7"/>
    <w:rsid w:val="00C54B1D"/>
    <w:rsid w:val="00C55DFB"/>
    <w:rsid w:val="00C56755"/>
    <w:rsid w:val="00C60796"/>
    <w:rsid w:val="00C627BE"/>
    <w:rsid w:val="00C62B02"/>
    <w:rsid w:val="00C638B3"/>
    <w:rsid w:val="00C6584B"/>
    <w:rsid w:val="00C708AD"/>
    <w:rsid w:val="00C72CD5"/>
    <w:rsid w:val="00C7651C"/>
    <w:rsid w:val="00C7764C"/>
    <w:rsid w:val="00C80D3B"/>
    <w:rsid w:val="00C81440"/>
    <w:rsid w:val="00C86452"/>
    <w:rsid w:val="00C90186"/>
    <w:rsid w:val="00C93E46"/>
    <w:rsid w:val="00C950E2"/>
    <w:rsid w:val="00C95982"/>
    <w:rsid w:val="00C9602D"/>
    <w:rsid w:val="00C967D1"/>
    <w:rsid w:val="00C96BC5"/>
    <w:rsid w:val="00C96D39"/>
    <w:rsid w:val="00CA03FF"/>
    <w:rsid w:val="00CA3343"/>
    <w:rsid w:val="00CB0E6C"/>
    <w:rsid w:val="00CB0F63"/>
    <w:rsid w:val="00CB15D3"/>
    <w:rsid w:val="00CB4C28"/>
    <w:rsid w:val="00CB53D1"/>
    <w:rsid w:val="00CC02E2"/>
    <w:rsid w:val="00CC2657"/>
    <w:rsid w:val="00CC6924"/>
    <w:rsid w:val="00CD08C3"/>
    <w:rsid w:val="00CD1E83"/>
    <w:rsid w:val="00CD7061"/>
    <w:rsid w:val="00CE0EDC"/>
    <w:rsid w:val="00CE5540"/>
    <w:rsid w:val="00CE64C9"/>
    <w:rsid w:val="00CE669F"/>
    <w:rsid w:val="00CE6DEA"/>
    <w:rsid w:val="00CF0E36"/>
    <w:rsid w:val="00CF119D"/>
    <w:rsid w:val="00CF19B2"/>
    <w:rsid w:val="00CF1FB4"/>
    <w:rsid w:val="00CF3C83"/>
    <w:rsid w:val="00CF5497"/>
    <w:rsid w:val="00CF6591"/>
    <w:rsid w:val="00CF72F8"/>
    <w:rsid w:val="00CF7E27"/>
    <w:rsid w:val="00D06092"/>
    <w:rsid w:val="00D0765A"/>
    <w:rsid w:val="00D1234E"/>
    <w:rsid w:val="00D14A1B"/>
    <w:rsid w:val="00D15841"/>
    <w:rsid w:val="00D20F03"/>
    <w:rsid w:val="00D22161"/>
    <w:rsid w:val="00D26BD3"/>
    <w:rsid w:val="00D27AB7"/>
    <w:rsid w:val="00D336F4"/>
    <w:rsid w:val="00D36C97"/>
    <w:rsid w:val="00D37C6D"/>
    <w:rsid w:val="00D54437"/>
    <w:rsid w:val="00D6100B"/>
    <w:rsid w:val="00D61FD9"/>
    <w:rsid w:val="00D62A22"/>
    <w:rsid w:val="00D63B81"/>
    <w:rsid w:val="00D65FB9"/>
    <w:rsid w:val="00D679C4"/>
    <w:rsid w:val="00D708CB"/>
    <w:rsid w:val="00D71686"/>
    <w:rsid w:val="00D71ABA"/>
    <w:rsid w:val="00D72695"/>
    <w:rsid w:val="00D7368F"/>
    <w:rsid w:val="00D77A95"/>
    <w:rsid w:val="00D82F4E"/>
    <w:rsid w:val="00D82FDF"/>
    <w:rsid w:val="00D83A28"/>
    <w:rsid w:val="00D853B9"/>
    <w:rsid w:val="00D8549B"/>
    <w:rsid w:val="00D87FC7"/>
    <w:rsid w:val="00D903F0"/>
    <w:rsid w:val="00D93312"/>
    <w:rsid w:val="00D95AD9"/>
    <w:rsid w:val="00DA25F2"/>
    <w:rsid w:val="00DA510A"/>
    <w:rsid w:val="00DA659B"/>
    <w:rsid w:val="00DB0C66"/>
    <w:rsid w:val="00DB3C19"/>
    <w:rsid w:val="00DB3F21"/>
    <w:rsid w:val="00DB4E95"/>
    <w:rsid w:val="00DB5754"/>
    <w:rsid w:val="00DB59BD"/>
    <w:rsid w:val="00DB6F3E"/>
    <w:rsid w:val="00DC08FE"/>
    <w:rsid w:val="00DC2DC6"/>
    <w:rsid w:val="00DC691C"/>
    <w:rsid w:val="00DD3B45"/>
    <w:rsid w:val="00DD4756"/>
    <w:rsid w:val="00DD4843"/>
    <w:rsid w:val="00DD65B5"/>
    <w:rsid w:val="00DE380F"/>
    <w:rsid w:val="00DE41A7"/>
    <w:rsid w:val="00DE4CBA"/>
    <w:rsid w:val="00DF1FD1"/>
    <w:rsid w:val="00DF382B"/>
    <w:rsid w:val="00DF45CA"/>
    <w:rsid w:val="00DF4E56"/>
    <w:rsid w:val="00DF6A5E"/>
    <w:rsid w:val="00E04376"/>
    <w:rsid w:val="00E06166"/>
    <w:rsid w:val="00E06734"/>
    <w:rsid w:val="00E07B42"/>
    <w:rsid w:val="00E126A6"/>
    <w:rsid w:val="00E12FDD"/>
    <w:rsid w:val="00E22372"/>
    <w:rsid w:val="00E232D0"/>
    <w:rsid w:val="00E2744E"/>
    <w:rsid w:val="00E27855"/>
    <w:rsid w:val="00E3245E"/>
    <w:rsid w:val="00E355F0"/>
    <w:rsid w:val="00E37A85"/>
    <w:rsid w:val="00E37ECB"/>
    <w:rsid w:val="00E40DA3"/>
    <w:rsid w:val="00E428A4"/>
    <w:rsid w:val="00E45305"/>
    <w:rsid w:val="00E47EFC"/>
    <w:rsid w:val="00E528F9"/>
    <w:rsid w:val="00E53148"/>
    <w:rsid w:val="00E53DB3"/>
    <w:rsid w:val="00E54314"/>
    <w:rsid w:val="00E545B9"/>
    <w:rsid w:val="00E55636"/>
    <w:rsid w:val="00E55B57"/>
    <w:rsid w:val="00E5719D"/>
    <w:rsid w:val="00E57680"/>
    <w:rsid w:val="00E61A34"/>
    <w:rsid w:val="00E6469D"/>
    <w:rsid w:val="00E6506E"/>
    <w:rsid w:val="00E65820"/>
    <w:rsid w:val="00E71993"/>
    <w:rsid w:val="00E71B5B"/>
    <w:rsid w:val="00E81496"/>
    <w:rsid w:val="00E824C1"/>
    <w:rsid w:val="00E828E6"/>
    <w:rsid w:val="00E84D41"/>
    <w:rsid w:val="00E86A91"/>
    <w:rsid w:val="00E87CBA"/>
    <w:rsid w:val="00E909B1"/>
    <w:rsid w:val="00E91110"/>
    <w:rsid w:val="00E918A6"/>
    <w:rsid w:val="00E91E38"/>
    <w:rsid w:val="00E93331"/>
    <w:rsid w:val="00E94537"/>
    <w:rsid w:val="00E964EC"/>
    <w:rsid w:val="00E96A2D"/>
    <w:rsid w:val="00E97804"/>
    <w:rsid w:val="00EA1F43"/>
    <w:rsid w:val="00EA371E"/>
    <w:rsid w:val="00EA4589"/>
    <w:rsid w:val="00EA6662"/>
    <w:rsid w:val="00EA6B40"/>
    <w:rsid w:val="00EB01E1"/>
    <w:rsid w:val="00EB3586"/>
    <w:rsid w:val="00EB4288"/>
    <w:rsid w:val="00EB4A0A"/>
    <w:rsid w:val="00EC0AFA"/>
    <w:rsid w:val="00EC1C26"/>
    <w:rsid w:val="00EC2354"/>
    <w:rsid w:val="00EC6EA8"/>
    <w:rsid w:val="00EC7198"/>
    <w:rsid w:val="00ED0884"/>
    <w:rsid w:val="00ED0F68"/>
    <w:rsid w:val="00ED2BCC"/>
    <w:rsid w:val="00ED5D9F"/>
    <w:rsid w:val="00ED6B61"/>
    <w:rsid w:val="00EE16FB"/>
    <w:rsid w:val="00EE5246"/>
    <w:rsid w:val="00EE64C0"/>
    <w:rsid w:val="00EF13DF"/>
    <w:rsid w:val="00EF2609"/>
    <w:rsid w:val="00EF3345"/>
    <w:rsid w:val="00EF4CDB"/>
    <w:rsid w:val="00EF507D"/>
    <w:rsid w:val="00EF6EC5"/>
    <w:rsid w:val="00F01F70"/>
    <w:rsid w:val="00F038E9"/>
    <w:rsid w:val="00F0412D"/>
    <w:rsid w:val="00F043B0"/>
    <w:rsid w:val="00F04A18"/>
    <w:rsid w:val="00F06444"/>
    <w:rsid w:val="00F06D6D"/>
    <w:rsid w:val="00F07F75"/>
    <w:rsid w:val="00F1182E"/>
    <w:rsid w:val="00F1358A"/>
    <w:rsid w:val="00F17251"/>
    <w:rsid w:val="00F209C1"/>
    <w:rsid w:val="00F2580E"/>
    <w:rsid w:val="00F273D9"/>
    <w:rsid w:val="00F30088"/>
    <w:rsid w:val="00F32132"/>
    <w:rsid w:val="00F3332F"/>
    <w:rsid w:val="00F33336"/>
    <w:rsid w:val="00F34E24"/>
    <w:rsid w:val="00F35B46"/>
    <w:rsid w:val="00F37327"/>
    <w:rsid w:val="00F376D1"/>
    <w:rsid w:val="00F37C4C"/>
    <w:rsid w:val="00F40777"/>
    <w:rsid w:val="00F415E4"/>
    <w:rsid w:val="00F46383"/>
    <w:rsid w:val="00F4744A"/>
    <w:rsid w:val="00F51526"/>
    <w:rsid w:val="00F52401"/>
    <w:rsid w:val="00F57566"/>
    <w:rsid w:val="00F636F5"/>
    <w:rsid w:val="00F6544B"/>
    <w:rsid w:val="00F66571"/>
    <w:rsid w:val="00F67BA5"/>
    <w:rsid w:val="00F8041C"/>
    <w:rsid w:val="00F82048"/>
    <w:rsid w:val="00F82879"/>
    <w:rsid w:val="00F8404D"/>
    <w:rsid w:val="00F8711A"/>
    <w:rsid w:val="00F8750F"/>
    <w:rsid w:val="00F90343"/>
    <w:rsid w:val="00F92642"/>
    <w:rsid w:val="00FA0A31"/>
    <w:rsid w:val="00FA11AB"/>
    <w:rsid w:val="00FB0F5E"/>
    <w:rsid w:val="00FB2BBE"/>
    <w:rsid w:val="00FB2D6E"/>
    <w:rsid w:val="00FB56A0"/>
    <w:rsid w:val="00FB7823"/>
    <w:rsid w:val="00FC2F47"/>
    <w:rsid w:val="00FC442F"/>
    <w:rsid w:val="00FC63FC"/>
    <w:rsid w:val="00FC6A85"/>
    <w:rsid w:val="00FC79B4"/>
    <w:rsid w:val="00FD0A0D"/>
    <w:rsid w:val="00FD5813"/>
    <w:rsid w:val="00FD6AFF"/>
    <w:rsid w:val="00FF48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6225AE"/>
  <w14:defaultImageDpi w14:val="300"/>
  <w15:chartTrackingRefBased/>
  <w15:docId w15:val="{6EE61A81-9C37-314B-ABD3-13B17D16A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autoRedefine/>
    <w:qFormat/>
    <w:rsid w:val="00EA6B40"/>
    <w:pPr>
      <w:spacing w:after="120"/>
    </w:pPr>
    <w:rPr>
      <w:rFonts w:ascii="Arial" w:hAnsi="Arial" w:cs="Arial"/>
      <w:b/>
      <w:bCs/>
      <w:sz w:val="22"/>
      <w:szCs w:val="22"/>
    </w:rPr>
  </w:style>
  <w:style w:type="paragraph" w:styleId="berschrift3">
    <w:name w:val="heading 3"/>
    <w:basedOn w:val="Standard"/>
    <w:next w:val="Standard"/>
    <w:qFormat/>
    <w:rsid w:val="0046104F"/>
    <w:pPr>
      <w:keepNext/>
      <w:framePr w:hSpace="141" w:wrap="around" w:vAnchor="page" w:hAnchor="margin" w:y="490"/>
      <w:tabs>
        <w:tab w:val="left" w:pos="2101"/>
        <w:tab w:val="left" w:pos="2406"/>
        <w:tab w:val="left" w:pos="3388"/>
        <w:tab w:val="center" w:pos="4535"/>
      </w:tabs>
      <w:jc w:val="center"/>
      <w:outlineLvl w:val="2"/>
    </w:pPr>
    <w:rPr>
      <w:rFonts w:ascii="Times New Roman" w:hAnsi="Times New Roman"/>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056A7"/>
    <w:pPr>
      <w:tabs>
        <w:tab w:val="center" w:pos="4536"/>
        <w:tab w:val="right" w:pos="9072"/>
      </w:tabs>
    </w:pPr>
  </w:style>
  <w:style w:type="paragraph" w:styleId="Fuzeile">
    <w:name w:val="footer"/>
    <w:basedOn w:val="Standard"/>
    <w:rsid w:val="008056A7"/>
    <w:pPr>
      <w:tabs>
        <w:tab w:val="center" w:pos="4536"/>
        <w:tab w:val="right" w:pos="9072"/>
      </w:tabs>
    </w:pPr>
  </w:style>
  <w:style w:type="paragraph" w:styleId="Textkrper-Zeileneinzug">
    <w:name w:val="Body Text Indent"/>
    <w:basedOn w:val="Standard"/>
    <w:rsid w:val="008056A7"/>
    <w:pPr>
      <w:ind w:left="708"/>
    </w:pPr>
    <w:rPr>
      <w:szCs w:val="20"/>
    </w:rPr>
  </w:style>
  <w:style w:type="character" w:styleId="Seitenzahl">
    <w:name w:val="page number"/>
    <w:basedOn w:val="Absatz-Standardschriftart"/>
    <w:rsid w:val="008056A7"/>
  </w:style>
  <w:style w:type="table" w:styleId="Tabellenraster">
    <w:name w:val="Table Grid"/>
    <w:basedOn w:val="NormaleTabelle"/>
    <w:rsid w:val="00A42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72"/>
    <w:qFormat/>
    <w:rsid w:val="00EA6B40"/>
    <w:pPr>
      <w:ind w:left="720"/>
      <w:contextualSpacing/>
    </w:pPr>
  </w:style>
  <w:style w:type="paragraph" w:styleId="Funotentext">
    <w:name w:val="footnote text"/>
    <w:basedOn w:val="Standard"/>
    <w:link w:val="FunotentextZchn"/>
    <w:uiPriority w:val="99"/>
    <w:semiHidden/>
    <w:unhideWhenUsed/>
    <w:rsid w:val="00E71993"/>
    <w:pPr>
      <w:spacing w:after="0"/>
    </w:pPr>
    <w:rPr>
      <w:sz w:val="20"/>
      <w:szCs w:val="20"/>
    </w:rPr>
  </w:style>
  <w:style w:type="character" w:customStyle="1" w:styleId="FunotentextZchn">
    <w:name w:val="Fußnotentext Zchn"/>
    <w:basedOn w:val="Absatz-Standardschriftart"/>
    <w:link w:val="Funotentext"/>
    <w:uiPriority w:val="99"/>
    <w:semiHidden/>
    <w:rsid w:val="00E71993"/>
    <w:rPr>
      <w:rFonts w:ascii="Arial" w:hAnsi="Arial" w:cs="Arial"/>
      <w:b/>
      <w:bCs/>
    </w:rPr>
  </w:style>
  <w:style w:type="character" w:styleId="Funotenzeichen">
    <w:name w:val="footnote reference"/>
    <w:basedOn w:val="Absatz-Standardschriftart"/>
    <w:uiPriority w:val="99"/>
    <w:semiHidden/>
    <w:unhideWhenUsed/>
    <w:rsid w:val="00E719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3.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keweitemeyer-fey/Documents/Fachberatung/Lernsituation_DU/u2_1_stati_Investi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u2_1_stati_Investition.dotx</Template>
  <TotalTime>0</TotalTime>
  <Pages>6</Pages>
  <Words>1136</Words>
  <Characters>7159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Die Designermöbel GmbH möchte im Rahmen der im Eingangsfall beschriebenen Kapazitätserweiterung eine neue CNC-Fräse erwerben</vt:lpstr>
    </vt:vector>
  </TitlesOfParts>
  <Company> </Company>
  <LinksUpToDate>false</LinksUpToDate>
  <CharactersWithSpaces>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Designermöbel GmbH möchte im Rahmen der im Eingangsfall beschriebenen Kapazitätserweiterung eine neue CNC-Fräse erwerben</dc:title>
  <dc:subject/>
  <dc:creator>Anke Weitemeyer-Fey</dc:creator>
  <cp:keywords/>
  <dc:description/>
  <cp:lastModifiedBy>Anke Weitemeyer-Fey</cp:lastModifiedBy>
  <cp:revision>11</cp:revision>
  <cp:lastPrinted>2021-01-20T13:16:00Z</cp:lastPrinted>
  <dcterms:created xsi:type="dcterms:W3CDTF">2021-01-20T11:24:00Z</dcterms:created>
  <dcterms:modified xsi:type="dcterms:W3CDTF">2021-03-19T17:47:00Z</dcterms:modified>
</cp:coreProperties>
</file>