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A3776" w14:textId="6BD3E481" w:rsidR="00F11B04" w:rsidRPr="008A5E5F" w:rsidRDefault="00F11B04" w:rsidP="00F11B04">
      <w:r w:rsidRPr="00912764">
        <w:rPr>
          <w:b/>
        </w:rPr>
        <w:t>Lernsituation</w:t>
      </w:r>
      <w:r w:rsidR="00912764" w:rsidRPr="00912764">
        <w:rPr>
          <w:b/>
        </w:rPr>
        <w:t xml:space="preserve"> </w:t>
      </w:r>
      <w:r w:rsidRPr="00912764">
        <w:rPr>
          <w:b/>
        </w:rPr>
        <w:t>für den Präsenz- und Distanzunterricht</w:t>
      </w:r>
      <w:r w:rsidR="00912764" w:rsidRPr="00912764">
        <w:rPr>
          <w:b/>
        </w:rPr>
        <w:br/>
      </w:r>
      <w:r>
        <w:t>im Beruflichen Gymnasium – Gesundheit und Soziales</w:t>
      </w:r>
      <w:r w:rsidR="00912764">
        <w:t xml:space="preserve"> –</w:t>
      </w:r>
      <w:r>
        <w:t>,</w:t>
      </w:r>
      <w:r w:rsidR="00912764">
        <w:t xml:space="preserve"> </w:t>
      </w:r>
      <w:r>
        <w:t>Schwerpunkt Ökotrophologie</w:t>
      </w:r>
    </w:p>
    <w:tbl>
      <w:tblPr>
        <w:tblStyle w:val="Tabellenraster"/>
        <w:tblW w:w="9209" w:type="dxa"/>
        <w:tblInd w:w="-1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0"/>
        <w:gridCol w:w="2253"/>
        <w:gridCol w:w="4739"/>
        <w:gridCol w:w="2207"/>
      </w:tblGrid>
      <w:tr w:rsidR="008A5E5F" w:rsidRPr="008A5E5F" w14:paraId="35E38A29" w14:textId="77777777" w:rsidTr="0066769B">
        <w:trPr>
          <w:gridBefore w:val="1"/>
          <w:wBefore w:w="10" w:type="dxa"/>
          <w:trHeight w:val="454"/>
        </w:trPr>
        <w:tc>
          <w:tcPr>
            <w:tcW w:w="2253" w:type="dxa"/>
            <w:vAlign w:val="center"/>
          </w:tcPr>
          <w:p w14:paraId="6C477393" w14:textId="77777777" w:rsidR="008A5E5F" w:rsidRPr="00DF0D2A" w:rsidRDefault="008A5E5F" w:rsidP="008A5E5F">
            <w:pPr>
              <w:spacing w:after="160" w:line="259" w:lineRule="auto"/>
              <w:rPr>
                <w:b/>
                <w:bCs/>
              </w:rPr>
            </w:pPr>
            <w:r w:rsidRPr="00DF0D2A">
              <w:rPr>
                <w:b/>
                <w:bCs/>
              </w:rPr>
              <w:t>Beruf/Bildungsgang:</w:t>
            </w:r>
          </w:p>
        </w:tc>
        <w:tc>
          <w:tcPr>
            <w:tcW w:w="4739" w:type="dxa"/>
            <w:vAlign w:val="center"/>
          </w:tcPr>
          <w:p w14:paraId="0C29C744" w14:textId="382C602D" w:rsidR="008A5E5F" w:rsidRPr="008A5E5F" w:rsidRDefault="00B107DC" w:rsidP="008A5E5F">
            <w:r>
              <w:t>Berufliches Gymnasium – Gesundheit und Soziales –, Schwerpunkt Ökotrophologie</w:t>
            </w:r>
            <w:r w:rsidR="007F4F0E">
              <w:br/>
              <w:t>Fach: Ernährung</w:t>
            </w:r>
          </w:p>
        </w:tc>
        <w:tc>
          <w:tcPr>
            <w:tcW w:w="2207" w:type="dxa"/>
            <w:vMerge w:val="restart"/>
            <w:vAlign w:val="center"/>
          </w:tcPr>
          <w:p w14:paraId="39CE2EBB" w14:textId="7A3B61B8" w:rsidR="008A5E5F" w:rsidRPr="008A5E5F" w:rsidRDefault="008D5097" w:rsidP="003B1829">
            <w:r>
              <w:t>Erstellt durch die Fachberatung Lebensmittelwissen</w:t>
            </w:r>
            <w:r>
              <w:softHyphen/>
              <w:t>schaft (Ernährung)</w:t>
            </w:r>
          </w:p>
        </w:tc>
      </w:tr>
      <w:tr w:rsidR="008A5E5F" w:rsidRPr="008A5E5F" w14:paraId="58C798E5" w14:textId="77777777" w:rsidTr="0066769B">
        <w:trPr>
          <w:gridBefore w:val="1"/>
          <w:wBefore w:w="10" w:type="dxa"/>
        </w:trPr>
        <w:tc>
          <w:tcPr>
            <w:tcW w:w="2253" w:type="dxa"/>
            <w:vAlign w:val="center"/>
          </w:tcPr>
          <w:p w14:paraId="753812A5" w14:textId="77777777" w:rsidR="008A5E5F" w:rsidRPr="008A5E5F" w:rsidRDefault="008A5E5F" w:rsidP="008A5E5F">
            <w:pPr>
              <w:rPr>
                <w:b/>
              </w:rPr>
            </w:pPr>
            <w:r w:rsidRPr="008A5E5F">
              <w:rPr>
                <w:b/>
              </w:rPr>
              <w:t>Curricularer Bezug:</w:t>
            </w:r>
          </w:p>
        </w:tc>
        <w:tc>
          <w:tcPr>
            <w:tcW w:w="4739" w:type="dxa"/>
            <w:vAlign w:val="center"/>
          </w:tcPr>
          <w:p w14:paraId="41F82A47" w14:textId="53A82827" w:rsidR="00B107DC" w:rsidRPr="004752D5" w:rsidRDefault="00B107DC" w:rsidP="00B107DC">
            <w:pPr>
              <w:rPr>
                <w:sz w:val="16"/>
                <w:szCs w:val="16"/>
              </w:rPr>
            </w:pPr>
            <w:r w:rsidRPr="00B107DC">
              <w:t xml:space="preserve">Niedersächsisches Kultusministerium (2015): Rahmenrichtlinien für das Profilfach Ernährung im Beruflichen Gymnasium – Gesundheit und Soziales –, Schwerpunkt Ökotrophologie. </w:t>
            </w:r>
            <w:hyperlink r:id="rId8" w:history="1">
              <w:r w:rsidR="0066769B" w:rsidRPr="004752D5">
                <w:rPr>
                  <w:color w:val="0000FF"/>
                  <w:sz w:val="16"/>
                  <w:szCs w:val="16"/>
                  <w:u w:val="single"/>
                </w:rPr>
                <w:t>Niedersächsisches Kultusministerium (nibis.de)</w:t>
              </w:r>
            </w:hyperlink>
            <w:r w:rsidR="001046E1">
              <w:rPr>
                <w:sz w:val="16"/>
                <w:szCs w:val="16"/>
              </w:rPr>
              <w:br/>
            </w:r>
            <w:r w:rsidR="00141A54">
              <w:rPr>
                <w:sz w:val="16"/>
                <w:szCs w:val="16"/>
              </w:rPr>
              <w:t>(</w:t>
            </w:r>
            <w:r w:rsidR="0066769B" w:rsidRPr="004752D5">
              <w:rPr>
                <w:sz w:val="16"/>
                <w:szCs w:val="16"/>
              </w:rPr>
              <w:t>Abruf 15.01</w:t>
            </w:r>
            <w:r w:rsidR="004752D5" w:rsidRPr="004752D5">
              <w:rPr>
                <w:sz w:val="16"/>
                <w:szCs w:val="16"/>
              </w:rPr>
              <w:t>.2021</w:t>
            </w:r>
            <w:r w:rsidR="00141A54">
              <w:rPr>
                <w:sz w:val="16"/>
                <w:szCs w:val="16"/>
              </w:rPr>
              <w:t>)</w:t>
            </w:r>
          </w:p>
          <w:p w14:paraId="7531F484" w14:textId="77777777" w:rsidR="004752D5" w:rsidRDefault="00B107DC" w:rsidP="008A5E5F">
            <w:r w:rsidRPr="00B107DC">
              <w:t xml:space="preserve">Niedersächsisches Kultusministerium (2009): Rahmenrichtlinien für das Fach Praxis im Fachgymnasium (jetzt: Berufliches Gymnasium). </w:t>
            </w:r>
          </w:p>
          <w:p w14:paraId="03303649" w14:textId="75F790C5" w:rsidR="008A5E5F" w:rsidRPr="00DD6D34" w:rsidRDefault="00010FC1" w:rsidP="008A5E5F">
            <w:pPr>
              <w:rPr>
                <w:sz w:val="16"/>
                <w:szCs w:val="16"/>
              </w:rPr>
            </w:pPr>
            <w:hyperlink r:id="rId9" w:history="1">
              <w:r w:rsidR="004752D5" w:rsidRPr="004752D5">
                <w:rPr>
                  <w:color w:val="0000FF"/>
                  <w:sz w:val="16"/>
                  <w:szCs w:val="16"/>
                  <w:u w:val="single"/>
                </w:rPr>
                <w:t>LG 3: Fachrichtungstypische Prozesse gestalten (nibis.de)</w:t>
              </w:r>
            </w:hyperlink>
            <w:r w:rsidR="001046E1">
              <w:rPr>
                <w:sz w:val="16"/>
                <w:szCs w:val="16"/>
              </w:rPr>
              <w:br/>
            </w:r>
            <w:r w:rsidR="00141A54">
              <w:rPr>
                <w:sz w:val="16"/>
                <w:szCs w:val="16"/>
              </w:rPr>
              <w:t>(</w:t>
            </w:r>
            <w:r w:rsidR="004752D5" w:rsidRPr="004752D5">
              <w:rPr>
                <w:sz w:val="16"/>
                <w:szCs w:val="16"/>
              </w:rPr>
              <w:t>Abruf 15.01.2021</w:t>
            </w:r>
            <w:r w:rsidR="00141A54">
              <w:rPr>
                <w:sz w:val="16"/>
                <w:szCs w:val="16"/>
              </w:rPr>
              <w:t>)</w:t>
            </w:r>
          </w:p>
        </w:tc>
        <w:tc>
          <w:tcPr>
            <w:tcW w:w="2207" w:type="dxa"/>
            <w:vMerge/>
            <w:vAlign w:val="center"/>
          </w:tcPr>
          <w:p w14:paraId="6B9F4930" w14:textId="77777777" w:rsidR="008A5E5F" w:rsidRPr="00B107DC" w:rsidRDefault="008A5E5F" w:rsidP="008A5E5F"/>
        </w:tc>
      </w:tr>
      <w:tr w:rsidR="008A5E5F" w:rsidRPr="008A5E5F" w14:paraId="2CBEE7A0" w14:textId="77777777" w:rsidTr="0066769B">
        <w:trPr>
          <w:gridBefore w:val="1"/>
          <w:wBefore w:w="10" w:type="dxa"/>
        </w:trPr>
        <w:tc>
          <w:tcPr>
            <w:tcW w:w="2253" w:type="dxa"/>
            <w:vAlign w:val="center"/>
          </w:tcPr>
          <w:p w14:paraId="7C416DAB" w14:textId="30D4048C" w:rsidR="008A5E5F" w:rsidRPr="008A5E5F" w:rsidRDefault="008A5E5F" w:rsidP="008A5E5F">
            <w:pPr>
              <w:rPr>
                <w:b/>
              </w:rPr>
            </w:pPr>
            <w:r w:rsidRPr="008A5E5F">
              <w:rPr>
                <w:b/>
              </w:rPr>
              <w:t>Lern</w:t>
            </w:r>
            <w:r w:rsidR="00806341">
              <w:rPr>
                <w:b/>
              </w:rPr>
              <w:t>gebiet</w:t>
            </w:r>
            <w:r w:rsidRPr="008A5E5F">
              <w:rPr>
                <w:b/>
              </w:rPr>
              <w:t xml:space="preserve"> </w:t>
            </w:r>
            <w:r w:rsidR="00B107DC">
              <w:rPr>
                <w:b/>
              </w:rPr>
              <w:t>11.1</w:t>
            </w:r>
            <w:r w:rsidRPr="008A5E5F">
              <w:rPr>
                <w:b/>
              </w:rPr>
              <w:t>:</w:t>
            </w:r>
          </w:p>
        </w:tc>
        <w:tc>
          <w:tcPr>
            <w:tcW w:w="4739" w:type="dxa"/>
            <w:vAlign w:val="center"/>
          </w:tcPr>
          <w:p w14:paraId="75192936" w14:textId="39F46C78" w:rsidR="008A5E5F" w:rsidRPr="00B107DC" w:rsidRDefault="00B107DC" w:rsidP="008A5E5F">
            <w:r w:rsidRPr="00B107DC">
              <w:t>Ernährungsverhalten beurteilen</w:t>
            </w:r>
          </w:p>
        </w:tc>
        <w:tc>
          <w:tcPr>
            <w:tcW w:w="2207" w:type="dxa"/>
            <w:vMerge/>
            <w:vAlign w:val="center"/>
          </w:tcPr>
          <w:p w14:paraId="614EF2A1" w14:textId="77777777" w:rsidR="008A5E5F" w:rsidRPr="00B107DC" w:rsidRDefault="008A5E5F" w:rsidP="008A5E5F"/>
        </w:tc>
      </w:tr>
      <w:tr w:rsidR="008A5E5F" w:rsidRPr="008A5E5F" w14:paraId="2E2F8783" w14:textId="77777777" w:rsidTr="0066769B">
        <w:trPr>
          <w:gridBefore w:val="1"/>
          <w:wBefore w:w="10" w:type="dxa"/>
        </w:trPr>
        <w:tc>
          <w:tcPr>
            <w:tcW w:w="2253" w:type="dxa"/>
            <w:vAlign w:val="center"/>
          </w:tcPr>
          <w:p w14:paraId="32C8B680" w14:textId="77777777" w:rsidR="008A5E5F" w:rsidRPr="008A5E5F" w:rsidRDefault="008A5E5F" w:rsidP="008A5E5F">
            <w:pPr>
              <w:rPr>
                <w:b/>
              </w:rPr>
            </w:pPr>
            <w:r w:rsidRPr="008A5E5F">
              <w:rPr>
                <w:b/>
              </w:rPr>
              <w:t>Titel der Lernsituation</w:t>
            </w:r>
          </w:p>
        </w:tc>
        <w:tc>
          <w:tcPr>
            <w:tcW w:w="4739" w:type="dxa"/>
            <w:vMerge w:val="restart"/>
            <w:vAlign w:val="center"/>
          </w:tcPr>
          <w:p w14:paraId="590E0A04" w14:textId="5F8C6037" w:rsidR="008A5E5F" w:rsidRPr="00B107DC" w:rsidRDefault="00251FAD" w:rsidP="008A5E5F">
            <w:r>
              <w:rPr>
                <w:rFonts w:eastAsia="Times New Roman" w:cs="Arial"/>
                <w:bCs/>
                <w:lang w:eastAsia="de-DE"/>
              </w:rPr>
              <w:t>Optimal und gesund ernähren</w:t>
            </w:r>
          </w:p>
        </w:tc>
        <w:tc>
          <w:tcPr>
            <w:tcW w:w="2207" w:type="dxa"/>
            <w:vMerge w:val="restart"/>
            <w:vAlign w:val="center"/>
          </w:tcPr>
          <w:p w14:paraId="0AA31A2B" w14:textId="6CE83272" w:rsidR="008A5E5F" w:rsidRPr="00B107DC" w:rsidRDefault="008A5E5F" w:rsidP="008A5E5F">
            <w:r w:rsidRPr="00B107DC">
              <w:t>Geplanter Zeitrichtwert:</w:t>
            </w:r>
            <w:r w:rsidR="00B107DC" w:rsidRPr="00B107DC">
              <w:br/>
            </w:r>
            <w:r w:rsidR="00B107DC" w:rsidRPr="00BF7277">
              <w:rPr>
                <w:sz w:val="20"/>
                <w:szCs w:val="20"/>
              </w:rPr>
              <w:t>ca. 6 Wochen</w:t>
            </w:r>
            <w:r w:rsidR="00B107DC" w:rsidRPr="00BF7277">
              <w:rPr>
                <w:sz w:val="20"/>
                <w:szCs w:val="20"/>
              </w:rPr>
              <w:br/>
              <w:t>(</w:t>
            </w:r>
            <w:r w:rsidR="004E039E">
              <w:rPr>
                <w:sz w:val="20"/>
                <w:szCs w:val="20"/>
              </w:rPr>
              <w:t>36</w:t>
            </w:r>
            <w:r w:rsidR="00B107DC" w:rsidRPr="00B107DC">
              <w:t xml:space="preserve"> </w:t>
            </w:r>
            <w:r w:rsidR="00B107DC" w:rsidRPr="00BF7277">
              <w:rPr>
                <w:sz w:val="20"/>
                <w:szCs w:val="20"/>
              </w:rPr>
              <w:t>Unterrichtsstunden</w:t>
            </w:r>
            <w:r w:rsidR="00B107DC" w:rsidRPr="00B107DC">
              <w:t>)</w:t>
            </w:r>
          </w:p>
        </w:tc>
      </w:tr>
      <w:tr w:rsidR="00B23A4F" w:rsidRPr="008A5E5F" w14:paraId="5FED9C3A" w14:textId="77777777" w:rsidTr="0066769B">
        <w:trPr>
          <w:gridBefore w:val="1"/>
          <w:wBefore w:w="10" w:type="dxa"/>
        </w:trPr>
        <w:tc>
          <w:tcPr>
            <w:tcW w:w="2253" w:type="dxa"/>
            <w:vAlign w:val="center"/>
          </w:tcPr>
          <w:p w14:paraId="706E86A7" w14:textId="77777777" w:rsidR="00B23A4F" w:rsidRPr="008A5E5F" w:rsidRDefault="00B23A4F" w:rsidP="008A5E5F">
            <w:pPr>
              <w:rPr>
                <w:b/>
              </w:rPr>
            </w:pPr>
          </w:p>
        </w:tc>
        <w:tc>
          <w:tcPr>
            <w:tcW w:w="4739" w:type="dxa"/>
            <w:vMerge/>
            <w:vAlign w:val="center"/>
          </w:tcPr>
          <w:p w14:paraId="5B309B3E" w14:textId="77777777" w:rsidR="00B23A4F" w:rsidRPr="008A5E5F" w:rsidRDefault="00B23A4F" w:rsidP="008A5E5F"/>
        </w:tc>
        <w:tc>
          <w:tcPr>
            <w:tcW w:w="2207" w:type="dxa"/>
            <w:vMerge/>
            <w:vAlign w:val="center"/>
          </w:tcPr>
          <w:p w14:paraId="72C08CFC" w14:textId="77777777" w:rsidR="00B23A4F" w:rsidRPr="008A5E5F" w:rsidRDefault="00B23A4F" w:rsidP="008A5E5F"/>
        </w:tc>
      </w:tr>
      <w:tr w:rsidR="008A5E5F" w:rsidRPr="008A5E5F" w14:paraId="47AA49C3" w14:textId="77777777" w:rsidTr="002A56B9">
        <w:trPr>
          <w:gridBefore w:val="1"/>
          <w:wBefore w:w="10" w:type="dxa"/>
          <w:trHeight w:val="397"/>
        </w:trPr>
        <w:tc>
          <w:tcPr>
            <w:tcW w:w="9199" w:type="dxa"/>
            <w:gridSpan w:val="3"/>
            <w:vAlign w:val="center"/>
          </w:tcPr>
          <w:p w14:paraId="398F4080" w14:textId="45205FDA" w:rsidR="00DD6D34" w:rsidRPr="00835B00" w:rsidRDefault="008A5E5F" w:rsidP="008A5E5F">
            <w:pPr>
              <w:rPr>
                <w:bCs/>
              </w:rPr>
            </w:pPr>
            <w:r w:rsidRPr="008A5E5F">
              <w:rPr>
                <w:b/>
              </w:rPr>
              <w:t>Autorin/Autor:</w:t>
            </w:r>
            <w:r w:rsidR="00B107DC">
              <w:rPr>
                <w:b/>
              </w:rPr>
              <w:t xml:space="preserve"> </w:t>
            </w:r>
            <w:r w:rsidR="00B107DC" w:rsidRPr="00AA0D61">
              <w:rPr>
                <w:bCs/>
              </w:rPr>
              <w:t>S</w:t>
            </w:r>
            <w:r w:rsidR="00DD6D34">
              <w:rPr>
                <w:bCs/>
              </w:rPr>
              <w:t>ilke</w:t>
            </w:r>
            <w:r w:rsidR="00AA0D61" w:rsidRPr="00AA0D61">
              <w:rPr>
                <w:bCs/>
              </w:rPr>
              <w:t xml:space="preserve"> F</w:t>
            </w:r>
            <w:r w:rsidR="00B107DC" w:rsidRPr="00AA0D61">
              <w:rPr>
                <w:bCs/>
              </w:rPr>
              <w:t>ricke</w:t>
            </w:r>
            <w:r w:rsidR="00DD6D34">
              <w:rPr>
                <w:bCs/>
              </w:rPr>
              <w:t xml:space="preserve">, silke.fricke@rlsb.de </w:t>
            </w:r>
            <w:r w:rsidR="00B107DC" w:rsidRPr="00AA0D61">
              <w:rPr>
                <w:bCs/>
              </w:rPr>
              <w:t>(</w:t>
            </w:r>
            <w:r w:rsidR="00DD6D34">
              <w:rPr>
                <w:bCs/>
              </w:rPr>
              <w:t>Stand Januar 2021</w:t>
            </w:r>
            <w:r w:rsidR="00835B00">
              <w:rPr>
                <w:bCs/>
              </w:rPr>
              <w:t>)</w:t>
            </w:r>
          </w:p>
        </w:tc>
      </w:tr>
      <w:tr w:rsidR="008A5E5F" w:rsidRPr="008A5E5F" w14:paraId="2D12701B"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c>
          <w:tcPr>
            <w:tcW w:w="9209" w:type="dxa"/>
            <w:gridSpan w:val="4"/>
            <w:tcBorders>
              <w:bottom w:val="single" w:sz="4" w:space="0" w:color="auto"/>
            </w:tcBorders>
            <w:shd w:val="clear" w:color="auto" w:fill="BFBFBF" w:themeFill="background1" w:themeFillShade="BF"/>
            <w:vAlign w:val="center"/>
          </w:tcPr>
          <w:p w14:paraId="6ADCA0D1" w14:textId="77777777" w:rsidR="008A5E5F" w:rsidRPr="008A5E5F" w:rsidRDefault="008A5E5F" w:rsidP="008A5E5F">
            <w:r w:rsidRPr="008A5E5F">
              <w:rPr>
                <w:b/>
              </w:rPr>
              <w:t>Handlungssituation:</w:t>
            </w:r>
          </w:p>
        </w:tc>
      </w:tr>
      <w:tr w:rsidR="008A5E5F" w:rsidRPr="008A5E5F" w14:paraId="73E4E215"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850"/>
        </w:trPr>
        <w:tc>
          <w:tcPr>
            <w:tcW w:w="9209" w:type="dxa"/>
            <w:gridSpan w:val="4"/>
            <w:tcBorders>
              <w:bottom w:val="single" w:sz="4" w:space="0" w:color="auto"/>
            </w:tcBorders>
            <w:shd w:val="clear" w:color="auto" w:fill="auto"/>
          </w:tcPr>
          <w:p w14:paraId="1A1CB2CF" w14:textId="364774F8" w:rsidR="00B107DC" w:rsidRPr="00FD1B2D" w:rsidRDefault="00AA0D61" w:rsidP="007A429A">
            <w:pPr>
              <w:tabs>
                <w:tab w:val="left" w:pos="11936"/>
              </w:tabs>
              <w:spacing w:after="60"/>
              <w:rPr>
                <w:rFonts w:ascii="Calibri" w:eastAsia="Calibri" w:hAnsi="Calibri" w:cs="Times New Roman"/>
                <w:sz w:val="20"/>
                <w:szCs w:val="20"/>
              </w:rPr>
            </w:pPr>
            <w:r w:rsidRPr="00B107DC">
              <w:rPr>
                <w:rFonts w:eastAsia="Times New Roman" w:cs="Arial"/>
                <w:bCs/>
                <w:lang w:eastAsia="de-DE"/>
              </w:rPr>
              <w:t>Fit im Alltag</w:t>
            </w:r>
            <w:r w:rsidR="00FB4B43">
              <w:rPr>
                <w:rFonts w:eastAsia="Times New Roman" w:cs="Arial"/>
                <w:bCs/>
                <w:lang w:eastAsia="de-DE"/>
              </w:rPr>
              <w:t xml:space="preserve"> – Gesundheit durch optimale Ernährung!?</w:t>
            </w:r>
          </w:p>
          <w:p w14:paraId="060106CC" w14:textId="52903C85" w:rsidR="00CD6F97" w:rsidRPr="00CD6F97" w:rsidRDefault="00CD6F97" w:rsidP="00CD6F97">
            <w:pPr>
              <w:rPr>
                <w:rFonts w:eastAsia="Times New Roman" w:cs="Arial"/>
                <w:bCs/>
                <w:lang w:eastAsia="de-DE"/>
              </w:rPr>
            </w:pPr>
            <w:r w:rsidRPr="00CD6F97">
              <w:rPr>
                <w:rFonts w:eastAsia="Times New Roman" w:cs="Arial"/>
                <w:bCs/>
                <w:lang w:eastAsia="de-DE"/>
              </w:rPr>
              <w:t>Gesunde Ernährung macht fit, das ist allen klar. Und was gesund ist, weiß schon jedes Kind: viel Gemüse, Obst und Ballaststoffe. Doch warum fällt es eigentlich so schwer, die Grundsätze einer gesunden Ernährung umzusetzen? Woran scheitern diese im Alltag? Wovon wird unser Ernährungsverhalten beeinflusst? Warum steigt die Zahl der Übergewichtigen in Deutschland immer weiter an? Wir wagen einen Selbstversuch …</w:t>
            </w:r>
          </w:p>
          <w:p w14:paraId="706E63D9" w14:textId="77777777" w:rsidR="00CD6F97" w:rsidRPr="00CD6F97" w:rsidRDefault="00CD6F97" w:rsidP="00CD6F97">
            <w:pPr>
              <w:rPr>
                <w:rFonts w:eastAsia="Times New Roman" w:cs="Arial"/>
                <w:bCs/>
                <w:lang w:eastAsia="de-DE"/>
              </w:rPr>
            </w:pPr>
            <w:r w:rsidRPr="00CD6F97">
              <w:rPr>
                <w:rFonts w:eastAsia="Times New Roman" w:cs="Arial"/>
                <w:bCs/>
                <w:lang w:eastAsia="de-DE"/>
              </w:rPr>
              <w:t xml:space="preserve">Sie informieren Schüler*innen des Beruflichen Gymnasiums auf dem jährlich in der Schule stattfindenden Gesundheitspräventionstag über die Bedeutung einer ausgewogenen Ernährung und ihre Wirkung auf die Gesundheit des Menschen. </w:t>
            </w:r>
          </w:p>
          <w:p w14:paraId="11F80BAF" w14:textId="2C1FD7C1" w:rsidR="002A56B9" w:rsidRPr="008A5E5F" w:rsidRDefault="00CD6F97" w:rsidP="00CD6F97">
            <w:r w:rsidRPr="00CD6F97">
              <w:rPr>
                <w:rFonts w:eastAsia="Times New Roman" w:cs="Arial"/>
                <w:bCs/>
                <w:lang w:eastAsia="de-DE"/>
              </w:rPr>
              <w:t xml:space="preserve">Ziel ist es dabei, </w:t>
            </w:r>
            <w:r w:rsidR="00FD6C34" w:rsidRPr="002E695D">
              <w:rPr>
                <w:rFonts w:eastAsia="Times New Roman" w:cs="Arial"/>
                <w:bCs/>
                <w:color w:val="5B9BD5" w:themeColor="accent1"/>
                <w:lang w:eastAsia="de-DE"/>
              </w:rPr>
              <w:t xml:space="preserve">(digitale) </w:t>
            </w:r>
            <w:r w:rsidRPr="00CD6F97">
              <w:rPr>
                <w:rFonts w:eastAsia="Times New Roman" w:cs="Arial"/>
                <w:bCs/>
                <w:lang w:eastAsia="de-DE"/>
              </w:rPr>
              <w:t xml:space="preserve">Handlungsempfehlungen zielgruppengerecht, leserfreundlich und in einem ansprechenden Design </w:t>
            </w:r>
            <w:r w:rsidR="00FD6C34">
              <w:rPr>
                <w:rFonts w:eastAsia="Times New Roman" w:cs="Arial"/>
                <w:bCs/>
                <w:lang w:eastAsia="de-DE"/>
              </w:rPr>
              <w:t>zu entwickeln</w:t>
            </w:r>
            <w:r w:rsidRPr="00CD6F97">
              <w:rPr>
                <w:rFonts w:eastAsia="Times New Roman" w:cs="Arial"/>
                <w:bCs/>
                <w:lang w:eastAsia="de-DE"/>
              </w:rPr>
              <w:t>.</w:t>
            </w:r>
          </w:p>
        </w:tc>
      </w:tr>
      <w:tr w:rsidR="008A5E5F" w:rsidRPr="008A5E5F" w14:paraId="6AF578B2"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14:paraId="2EC23199" w14:textId="77777777" w:rsidR="008A5E5F" w:rsidRPr="008A5E5F" w:rsidRDefault="008A5E5F" w:rsidP="008A5E5F">
            <w:pPr>
              <w:rPr>
                <w:b/>
              </w:rPr>
            </w:pPr>
            <w:r w:rsidRPr="008A5E5F">
              <w:rPr>
                <w:b/>
              </w:rPr>
              <w:t>Handlungsergebnis:</w:t>
            </w:r>
          </w:p>
        </w:tc>
      </w:tr>
      <w:tr w:rsidR="008A5E5F" w:rsidRPr="008A5E5F" w14:paraId="6550F99B"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1092A858" w14:textId="78385646" w:rsidR="002A56B9" w:rsidRPr="00806341" w:rsidRDefault="00806341" w:rsidP="00010FC1">
            <w:r w:rsidRPr="002E695D">
              <w:rPr>
                <w:rFonts w:eastAsia="Times New Roman" w:cs="Arial"/>
                <w:bCs/>
                <w:color w:val="5B9BD5" w:themeColor="accent1"/>
                <w:lang w:eastAsia="de-DE"/>
              </w:rPr>
              <w:t>(</w:t>
            </w:r>
            <w:r w:rsidR="00611BF4" w:rsidRPr="002E695D">
              <w:rPr>
                <w:rFonts w:eastAsia="Times New Roman" w:cs="Arial"/>
                <w:bCs/>
                <w:color w:val="5B9BD5" w:themeColor="accent1"/>
                <w:lang w:eastAsia="de-DE"/>
              </w:rPr>
              <w:t>Digitale</w:t>
            </w:r>
            <w:r w:rsidRPr="002E695D">
              <w:rPr>
                <w:rFonts w:eastAsia="Times New Roman" w:cs="Arial"/>
                <w:bCs/>
                <w:color w:val="5B9BD5" w:themeColor="accent1"/>
                <w:lang w:eastAsia="de-DE"/>
              </w:rPr>
              <w:t>)</w:t>
            </w:r>
            <w:r w:rsidR="00611BF4" w:rsidRPr="00806341">
              <w:rPr>
                <w:rFonts w:eastAsia="Times New Roman" w:cs="Arial"/>
                <w:bCs/>
                <w:lang w:eastAsia="de-DE"/>
              </w:rPr>
              <w:t xml:space="preserve"> Handlungsempfehlungen</w:t>
            </w:r>
            <w:r w:rsidR="00611BF4" w:rsidRPr="00806341">
              <w:t xml:space="preserve"> </w:t>
            </w:r>
            <w:r w:rsidR="00AA0D61" w:rsidRPr="00806341">
              <w:t>zum Gesundheitspräventionstag</w:t>
            </w:r>
            <w:r w:rsidRPr="00806341">
              <w:t>,</w:t>
            </w:r>
            <w:r>
              <w:br/>
            </w:r>
            <w:r w:rsidR="00C36B76">
              <w:t>(</w:t>
            </w:r>
            <w:r w:rsidR="00010FC1">
              <w:t>z.B</w:t>
            </w:r>
            <w:bookmarkStart w:id="0" w:name="_GoBack"/>
            <w:bookmarkEnd w:id="0"/>
            <w:r w:rsidRPr="00806341">
              <w:t>. Flyer mit Logo für den jährlich stattfindenden Gesundheitspräventionstag</w:t>
            </w:r>
            <w:r w:rsidR="00C36B76">
              <w:t>)</w:t>
            </w:r>
          </w:p>
        </w:tc>
      </w:tr>
      <w:tr w:rsidR="008A5E5F" w:rsidRPr="008A5E5F" w14:paraId="6E3AC0B7"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14:paraId="6E848DA4" w14:textId="77777777" w:rsidR="008A5E5F" w:rsidRPr="008A5E5F" w:rsidRDefault="008A5E5F" w:rsidP="008A5E5F">
            <w:pPr>
              <w:rPr>
                <w:b/>
              </w:rPr>
            </w:pPr>
            <w:r w:rsidRPr="008A5E5F">
              <w:rPr>
                <w:b/>
              </w:rPr>
              <w:t>Inhalte:</w:t>
            </w:r>
          </w:p>
        </w:tc>
      </w:tr>
      <w:tr w:rsidR="008A5E5F" w:rsidRPr="008A5E5F" w14:paraId="185C552B"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5ABB27B3" w14:textId="404D9859" w:rsidR="00806341" w:rsidRPr="00806341" w:rsidRDefault="00806341" w:rsidP="00806341">
            <w:pPr>
              <w:pStyle w:val="Listenabsatz"/>
              <w:numPr>
                <w:ilvl w:val="0"/>
                <w:numId w:val="6"/>
              </w:numPr>
              <w:tabs>
                <w:tab w:val="left" w:pos="113"/>
              </w:tabs>
              <w:ind w:left="357" w:hanging="357"/>
              <w:rPr>
                <w:rFonts w:ascii="Calibri" w:eastAsia="Calibri" w:hAnsi="Calibri" w:cs="Times New Roman"/>
              </w:rPr>
            </w:pPr>
            <w:r w:rsidRPr="00806341">
              <w:rPr>
                <w:rFonts w:ascii="Calibri" w:eastAsia="Calibri" w:hAnsi="Calibri" w:cs="Times New Roman"/>
              </w:rPr>
              <w:t xml:space="preserve">Nationale </w:t>
            </w:r>
            <w:proofErr w:type="spellStart"/>
            <w:r w:rsidRPr="003C7066">
              <w:rPr>
                <w:rFonts w:ascii="Calibri" w:eastAsia="Calibri" w:hAnsi="Calibri" w:cs="Times New Roman"/>
              </w:rPr>
              <w:t>Verzehr</w:t>
            </w:r>
            <w:r w:rsidR="00CA0A08" w:rsidRPr="003C7066">
              <w:rPr>
                <w:rFonts w:ascii="Calibri" w:eastAsia="Calibri" w:hAnsi="Calibri" w:cs="Times New Roman"/>
              </w:rPr>
              <w:t>s</w:t>
            </w:r>
            <w:r w:rsidRPr="003C7066">
              <w:rPr>
                <w:rFonts w:ascii="Calibri" w:eastAsia="Calibri" w:hAnsi="Calibri" w:cs="Times New Roman"/>
              </w:rPr>
              <w:t>studie</w:t>
            </w:r>
            <w:proofErr w:type="spellEnd"/>
            <w:r w:rsidRPr="00806341">
              <w:rPr>
                <w:rFonts w:ascii="Calibri" w:eastAsia="Calibri" w:hAnsi="Calibri" w:cs="Times New Roman"/>
              </w:rPr>
              <w:t>: Einflussfaktoren auf das Ernährungsverhalten</w:t>
            </w:r>
          </w:p>
          <w:p w14:paraId="58EED95D" w14:textId="238B5CDF" w:rsidR="00806341" w:rsidRPr="00806341" w:rsidRDefault="00806341" w:rsidP="00806341">
            <w:pPr>
              <w:pStyle w:val="Listenabsatz"/>
              <w:numPr>
                <w:ilvl w:val="0"/>
                <w:numId w:val="6"/>
              </w:numPr>
              <w:tabs>
                <w:tab w:val="left" w:pos="113"/>
              </w:tabs>
              <w:ind w:left="357" w:hanging="357"/>
              <w:rPr>
                <w:rFonts w:ascii="Calibri" w:eastAsia="Calibri" w:hAnsi="Calibri" w:cs="Times New Roman"/>
              </w:rPr>
            </w:pPr>
            <w:r w:rsidRPr="00806341">
              <w:rPr>
                <w:rFonts w:ascii="Calibri" w:eastAsia="Calibri" w:hAnsi="Calibri" w:cs="Times New Roman"/>
              </w:rPr>
              <w:t>Inhaltsstoffe von Lebensmitteln</w:t>
            </w:r>
          </w:p>
          <w:p w14:paraId="5E15AEBB" w14:textId="77777777" w:rsidR="00806341" w:rsidRPr="00806341" w:rsidRDefault="00806341" w:rsidP="00806341">
            <w:pPr>
              <w:pStyle w:val="Listenabsatz"/>
              <w:numPr>
                <w:ilvl w:val="0"/>
                <w:numId w:val="6"/>
              </w:numPr>
              <w:tabs>
                <w:tab w:val="left" w:pos="113"/>
              </w:tabs>
              <w:ind w:left="357" w:hanging="357"/>
              <w:rPr>
                <w:rFonts w:ascii="Calibri" w:eastAsia="Calibri" w:hAnsi="Calibri" w:cs="Times New Roman"/>
              </w:rPr>
            </w:pPr>
            <w:r w:rsidRPr="00806341">
              <w:rPr>
                <w:rFonts w:ascii="Calibri" w:eastAsia="Calibri" w:hAnsi="Calibri" w:cs="Times New Roman"/>
              </w:rPr>
              <w:t>Aufgaben der Makro- und Mikronährstoffe</w:t>
            </w:r>
          </w:p>
          <w:p w14:paraId="7DA32026" w14:textId="3DD8ECBD" w:rsidR="00806341" w:rsidRPr="00806341" w:rsidRDefault="003C7066" w:rsidP="00806341">
            <w:pPr>
              <w:pStyle w:val="Listenabsatz"/>
              <w:numPr>
                <w:ilvl w:val="0"/>
                <w:numId w:val="6"/>
              </w:numPr>
              <w:tabs>
                <w:tab w:val="left" w:pos="113"/>
              </w:tabs>
              <w:ind w:left="357" w:hanging="357"/>
              <w:rPr>
                <w:rFonts w:ascii="Calibri" w:eastAsia="Calibri" w:hAnsi="Calibri" w:cs="Times New Roman"/>
              </w:rPr>
            </w:pPr>
            <w:proofErr w:type="spellStart"/>
            <w:r>
              <w:rPr>
                <w:rFonts w:ascii="Calibri" w:eastAsia="Calibri" w:hAnsi="Calibri" w:cs="Times New Roman"/>
              </w:rPr>
              <w:t>a</w:t>
            </w:r>
            <w:r w:rsidR="00806341" w:rsidRPr="00806341">
              <w:rPr>
                <w:rFonts w:ascii="Calibri" w:eastAsia="Calibri" w:hAnsi="Calibri" w:cs="Times New Roman"/>
              </w:rPr>
              <w:t>id</w:t>
            </w:r>
            <w:proofErr w:type="spellEnd"/>
            <w:r>
              <w:rPr>
                <w:rFonts w:ascii="Calibri" w:eastAsia="Calibri" w:hAnsi="Calibri" w:cs="Times New Roman"/>
              </w:rPr>
              <w:t>-</w:t>
            </w:r>
            <w:r w:rsidR="00806341" w:rsidRPr="00806341">
              <w:rPr>
                <w:rFonts w:ascii="Calibri" w:eastAsia="Calibri" w:hAnsi="Calibri" w:cs="Times New Roman"/>
              </w:rPr>
              <w:t>Ernährungspyramide</w:t>
            </w:r>
          </w:p>
          <w:p w14:paraId="00DD35FF" w14:textId="6ADF1907" w:rsidR="00806341" w:rsidRPr="00806341" w:rsidRDefault="00806341" w:rsidP="00806341">
            <w:pPr>
              <w:pStyle w:val="Listenabsatz"/>
              <w:numPr>
                <w:ilvl w:val="0"/>
                <w:numId w:val="6"/>
              </w:numPr>
              <w:tabs>
                <w:tab w:val="left" w:pos="113"/>
              </w:tabs>
              <w:ind w:left="357" w:hanging="357"/>
              <w:rPr>
                <w:rFonts w:ascii="Calibri" w:eastAsia="Calibri" w:hAnsi="Calibri" w:cs="Times New Roman"/>
              </w:rPr>
            </w:pPr>
            <w:r w:rsidRPr="00806341">
              <w:rPr>
                <w:rFonts w:ascii="Calibri" w:eastAsia="Calibri" w:hAnsi="Calibri" w:cs="Times New Roman"/>
              </w:rPr>
              <w:t>10 Regeln der DGE</w:t>
            </w:r>
          </w:p>
          <w:p w14:paraId="137DB053" w14:textId="77777777" w:rsidR="00806341" w:rsidRPr="00806341" w:rsidRDefault="00806341" w:rsidP="00806341">
            <w:pPr>
              <w:pStyle w:val="Listenabsatz"/>
              <w:numPr>
                <w:ilvl w:val="0"/>
                <w:numId w:val="6"/>
              </w:numPr>
              <w:tabs>
                <w:tab w:val="left" w:pos="113"/>
              </w:tabs>
              <w:ind w:left="357" w:hanging="357"/>
              <w:rPr>
                <w:rFonts w:ascii="Calibri" w:eastAsia="Calibri" w:hAnsi="Calibri" w:cs="Times New Roman"/>
              </w:rPr>
            </w:pPr>
            <w:r w:rsidRPr="00806341">
              <w:rPr>
                <w:rFonts w:ascii="Calibri" w:eastAsia="Calibri" w:hAnsi="Calibri" w:cs="Times New Roman"/>
              </w:rPr>
              <w:t>Ernährungsprotokolle</w:t>
            </w:r>
          </w:p>
          <w:p w14:paraId="57E21B1F" w14:textId="77777777" w:rsidR="00806341" w:rsidRPr="00806341" w:rsidRDefault="00806341" w:rsidP="00806341">
            <w:pPr>
              <w:pStyle w:val="Listenabsatz"/>
              <w:numPr>
                <w:ilvl w:val="0"/>
                <w:numId w:val="6"/>
              </w:numPr>
              <w:tabs>
                <w:tab w:val="left" w:pos="113"/>
              </w:tabs>
              <w:ind w:left="357" w:hanging="357"/>
              <w:rPr>
                <w:rFonts w:ascii="Calibri" w:eastAsia="Calibri" w:hAnsi="Calibri" w:cs="Times New Roman"/>
              </w:rPr>
            </w:pPr>
            <w:r w:rsidRPr="00806341">
              <w:rPr>
                <w:rFonts w:ascii="Calibri" w:eastAsia="Calibri" w:hAnsi="Calibri" w:cs="Times New Roman"/>
              </w:rPr>
              <w:t>Nährwertberechnungen</w:t>
            </w:r>
          </w:p>
          <w:p w14:paraId="18374C3B" w14:textId="77777777" w:rsidR="00806341" w:rsidRPr="00806341" w:rsidRDefault="00806341" w:rsidP="00806341">
            <w:pPr>
              <w:pStyle w:val="Listenabsatz"/>
              <w:numPr>
                <w:ilvl w:val="0"/>
                <w:numId w:val="6"/>
              </w:numPr>
              <w:tabs>
                <w:tab w:val="left" w:pos="113"/>
              </w:tabs>
              <w:ind w:left="357" w:hanging="357"/>
              <w:rPr>
                <w:rFonts w:ascii="Calibri" w:eastAsia="Calibri" w:hAnsi="Calibri" w:cs="Times New Roman"/>
              </w:rPr>
            </w:pPr>
            <w:r w:rsidRPr="00806341">
              <w:rPr>
                <w:rFonts w:ascii="Calibri" w:eastAsia="Calibri" w:hAnsi="Calibri" w:cs="Times New Roman"/>
              </w:rPr>
              <w:t>Referenzwerte, Nährstoffrelationen</w:t>
            </w:r>
          </w:p>
          <w:p w14:paraId="1C74305A" w14:textId="3EEA786D" w:rsidR="00806341" w:rsidRDefault="00806341" w:rsidP="00806341">
            <w:pPr>
              <w:pStyle w:val="Listenabsatz"/>
              <w:numPr>
                <w:ilvl w:val="0"/>
                <w:numId w:val="6"/>
              </w:numPr>
              <w:tabs>
                <w:tab w:val="left" w:pos="113"/>
              </w:tabs>
              <w:ind w:left="357" w:hanging="357"/>
              <w:rPr>
                <w:rFonts w:ascii="Calibri" w:eastAsia="Calibri" w:hAnsi="Calibri" w:cs="Times New Roman"/>
              </w:rPr>
            </w:pPr>
            <w:r w:rsidRPr="00806341">
              <w:rPr>
                <w:rFonts w:ascii="Calibri" w:eastAsia="Calibri" w:hAnsi="Calibri" w:cs="Times New Roman"/>
              </w:rPr>
              <w:t>Kennzahlen zur Ermittlung des Körpergewichtes</w:t>
            </w:r>
          </w:p>
          <w:p w14:paraId="441AB681" w14:textId="33E91BD6" w:rsidR="00EE5C98" w:rsidRDefault="00835B00" w:rsidP="00806341">
            <w:pPr>
              <w:pStyle w:val="Listenabsatz"/>
              <w:numPr>
                <w:ilvl w:val="0"/>
                <w:numId w:val="6"/>
              </w:numPr>
              <w:tabs>
                <w:tab w:val="left" w:pos="113"/>
              </w:tabs>
              <w:ind w:left="357" w:hanging="357"/>
              <w:rPr>
                <w:rFonts w:ascii="Calibri" w:eastAsia="Calibri" w:hAnsi="Calibri" w:cs="Times New Roman"/>
              </w:rPr>
            </w:pPr>
            <w:r>
              <w:rPr>
                <w:rFonts w:ascii="Calibri" w:eastAsia="Calibri" w:hAnsi="Calibri" w:cs="Times New Roman"/>
              </w:rPr>
              <w:t xml:space="preserve">Tageskostpläne, </w:t>
            </w:r>
            <w:r w:rsidR="00EE5C98" w:rsidRPr="00EE5C98">
              <w:rPr>
                <w:rFonts w:ascii="Calibri" w:eastAsia="Calibri" w:hAnsi="Calibri" w:cs="Times New Roman"/>
              </w:rPr>
              <w:t>Soll-Ist-Vergleich</w:t>
            </w:r>
          </w:p>
          <w:p w14:paraId="4D718DDE" w14:textId="78750F35" w:rsidR="002A56B9" w:rsidRPr="00FE6060" w:rsidRDefault="00FB4B43" w:rsidP="00FE6060">
            <w:pPr>
              <w:pStyle w:val="Listenabsatz"/>
              <w:numPr>
                <w:ilvl w:val="0"/>
                <w:numId w:val="6"/>
              </w:numPr>
              <w:tabs>
                <w:tab w:val="left" w:pos="113"/>
              </w:tabs>
              <w:spacing w:after="240"/>
              <w:ind w:left="357" w:hanging="357"/>
              <w:rPr>
                <w:rFonts w:ascii="Calibri" w:eastAsia="Calibri" w:hAnsi="Calibri" w:cs="Times New Roman"/>
              </w:rPr>
            </w:pPr>
            <w:r>
              <w:rPr>
                <w:rFonts w:ascii="Calibri" w:eastAsia="Calibri" w:hAnsi="Calibri" w:cs="Times New Roman"/>
              </w:rPr>
              <w:t>Qualitäts</w:t>
            </w:r>
            <w:r w:rsidR="00446B78" w:rsidRPr="00EE5C98">
              <w:rPr>
                <w:rFonts w:ascii="Calibri" w:eastAsia="Calibri" w:hAnsi="Calibri" w:cs="Times New Roman"/>
              </w:rPr>
              <w:t>kriterien</w:t>
            </w:r>
          </w:p>
        </w:tc>
      </w:tr>
    </w:tbl>
    <w:p w14:paraId="4044DD24" w14:textId="77777777" w:rsidR="00FE6060" w:rsidRDefault="00FE6060">
      <w:r>
        <w:br w:type="page"/>
      </w:r>
    </w:p>
    <w:tbl>
      <w:tblPr>
        <w:tblStyle w:val="Tabellenraster"/>
        <w:tblW w:w="9209" w:type="dxa"/>
        <w:tblLayout w:type="fixed"/>
        <w:tblLook w:val="04A0" w:firstRow="1" w:lastRow="0" w:firstColumn="1" w:lastColumn="0" w:noHBand="0" w:noVBand="1"/>
      </w:tblPr>
      <w:tblGrid>
        <w:gridCol w:w="2689"/>
        <w:gridCol w:w="6520"/>
      </w:tblGrid>
      <w:tr w:rsidR="008A5E5F" w:rsidRPr="008A5E5F" w14:paraId="7FA8B467" w14:textId="77777777" w:rsidTr="00FE6060">
        <w:trPr>
          <w:tblHeader/>
        </w:trPr>
        <w:tc>
          <w:tcPr>
            <w:tcW w:w="9209" w:type="dxa"/>
            <w:gridSpan w:val="2"/>
            <w:shd w:val="clear" w:color="auto" w:fill="BFBFBF" w:themeFill="background1" w:themeFillShade="BF"/>
          </w:tcPr>
          <w:p w14:paraId="293C0C18" w14:textId="77777777" w:rsidR="008A5E5F" w:rsidRPr="008A5E5F" w:rsidRDefault="008A5E5F" w:rsidP="008A5E5F">
            <w:pPr>
              <w:rPr>
                <w:b/>
              </w:rPr>
            </w:pPr>
            <w:r w:rsidRPr="008A5E5F">
              <w:rPr>
                <w:b/>
              </w:rPr>
              <w:lastRenderedPageBreak/>
              <w:t>Schulische Entscheidungen:</w:t>
            </w:r>
          </w:p>
        </w:tc>
      </w:tr>
      <w:tr w:rsidR="008D36AD" w:rsidRPr="008A5E5F" w14:paraId="623C40A9" w14:textId="77777777" w:rsidTr="00FB4B43">
        <w:trPr>
          <w:trHeight w:val="697"/>
        </w:trPr>
        <w:tc>
          <w:tcPr>
            <w:tcW w:w="2689" w:type="dxa"/>
            <w:tcBorders>
              <w:bottom w:val="single" w:sz="4" w:space="0" w:color="auto"/>
            </w:tcBorders>
          </w:tcPr>
          <w:p w14:paraId="44AA045F" w14:textId="4C2A4759" w:rsidR="008D36AD" w:rsidRDefault="008D36AD" w:rsidP="008D36AD">
            <w:r>
              <w:t>Anforderung an die Lernumgebung</w:t>
            </w:r>
          </w:p>
        </w:tc>
        <w:tc>
          <w:tcPr>
            <w:tcW w:w="6520" w:type="dxa"/>
            <w:tcBorders>
              <w:bottom w:val="single" w:sz="4" w:space="0" w:color="auto"/>
            </w:tcBorders>
          </w:tcPr>
          <w:p w14:paraId="6AEDB1F9" w14:textId="32031900" w:rsidR="008D36AD" w:rsidRDefault="008D36AD" w:rsidP="008D36AD">
            <w:r>
              <w:t>Nutzung von EDV- Raum</w:t>
            </w:r>
            <w:r w:rsidR="00CF451A">
              <w:t>, Tablets</w:t>
            </w:r>
          </w:p>
          <w:p w14:paraId="497680E9" w14:textId="528A8995" w:rsidR="00CF451A" w:rsidRDefault="00FB4B43" w:rsidP="00FB4B43">
            <w:r>
              <w:t>Nutzung von LMS und Lerntools (</w:t>
            </w:r>
            <w:r w:rsidR="00CF451A">
              <w:t>vgl. Hinweise Distanzunterricht</w:t>
            </w:r>
            <w:r>
              <w:t>)</w:t>
            </w:r>
          </w:p>
        </w:tc>
      </w:tr>
      <w:tr w:rsidR="008D36AD" w:rsidRPr="008A5E5F" w14:paraId="75CAD991" w14:textId="77777777" w:rsidTr="00FB4B43">
        <w:trPr>
          <w:trHeight w:val="706"/>
        </w:trPr>
        <w:tc>
          <w:tcPr>
            <w:tcW w:w="2689" w:type="dxa"/>
            <w:tcBorders>
              <w:bottom w:val="single" w:sz="4" w:space="0" w:color="auto"/>
            </w:tcBorders>
          </w:tcPr>
          <w:p w14:paraId="00252D2D" w14:textId="7E507442" w:rsidR="008D36AD" w:rsidRDefault="008D36AD" w:rsidP="008D36AD">
            <w:r>
              <w:t>Verknüpfung mit anderen Lerngebieten</w:t>
            </w:r>
          </w:p>
        </w:tc>
        <w:tc>
          <w:tcPr>
            <w:tcW w:w="6520" w:type="dxa"/>
            <w:tcBorders>
              <w:bottom w:val="single" w:sz="4" w:space="0" w:color="auto"/>
            </w:tcBorders>
          </w:tcPr>
          <w:p w14:paraId="0AC046E3" w14:textId="77777777" w:rsidR="008D36AD" w:rsidRDefault="008D36AD" w:rsidP="008D36AD">
            <w:r>
              <w:t>LG11.2 Lebensmittel analysieren</w:t>
            </w:r>
          </w:p>
          <w:p w14:paraId="2D42C6A1" w14:textId="440ADA74" w:rsidR="00FB4B43" w:rsidRDefault="00FB4B43" w:rsidP="008D36AD">
            <w:r>
              <w:t>Praxis</w:t>
            </w:r>
          </w:p>
        </w:tc>
      </w:tr>
      <w:tr w:rsidR="008D36AD" w:rsidRPr="00CA0A08" w14:paraId="72998D8C" w14:textId="77777777" w:rsidTr="00FB4B43">
        <w:trPr>
          <w:trHeight w:val="850"/>
        </w:trPr>
        <w:tc>
          <w:tcPr>
            <w:tcW w:w="2689" w:type="dxa"/>
            <w:tcBorders>
              <w:bottom w:val="single" w:sz="4" w:space="0" w:color="auto"/>
            </w:tcBorders>
          </w:tcPr>
          <w:p w14:paraId="40F9F82D" w14:textId="05F49599" w:rsidR="008D36AD" w:rsidRDefault="008D36AD" w:rsidP="008D36AD">
            <w:r>
              <w:t>Verknüpfung mit dem berufsübergreifenden Lernbereich</w:t>
            </w:r>
          </w:p>
        </w:tc>
        <w:tc>
          <w:tcPr>
            <w:tcW w:w="6520" w:type="dxa"/>
            <w:tcBorders>
              <w:bottom w:val="single" w:sz="4" w:space="0" w:color="auto"/>
            </w:tcBorders>
          </w:tcPr>
          <w:p w14:paraId="3C8784C1" w14:textId="08886668" w:rsidR="00FB4B43" w:rsidRPr="003C7066" w:rsidRDefault="00FB4B43" w:rsidP="00FB4B43">
            <w:r>
              <w:t>Ggf. Zusammenarbeit mit dem Fach Deutsch bezüglich des Schreibens</w:t>
            </w:r>
            <w:r w:rsidR="003C7066">
              <w:t xml:space="preserve"> eines Newsletters</w:t>
            </w:r>
          </w:p>
          <w:p w14:paraId="50B2B368" w14:textId="6AEEDFB2" w:rsidR="008D36AD" w:rsidRDefault="00FB4B43" w:rsidP="008D36AD">
            <w:r>
              <w:t>Ggf. Zusammenarbeit bei der Datenkompression und Dateiformate mit Informationsverarbeitung</w:t>
            </w:r>
          </w:p>
        </w:tc>
      </w:tr>
      <w:tr w:rsidR="008D36AD" w:rsidRPr="008A5E5F" w14:paraId="2D5B2EA7" w14:textId="77777777" w:rsidTr="00FB4B43">
        <w:trPr>
          <w:trHeight w:val="850"/>
        </w:trPr>
        <w:tc>
          <w:tcPr>
            <w:tcW w:w="2689" w:type="dxa"/>
            <w:tcBorders>
              <w:bottom w:val="single" w:sz="4" w:space="0" w:color="auto"/>
            </w:tcBorders>
          </w:tcPr>
          <w:p w14:paraId="70DB77AE" w14:textId="7DAD60EE" w:rsidR="008D36AD" w:rsidRDefault="00FB4B43" w:rsidP="008D36AD">
            <w:r>
              <w:t xml:space="preserve">Integrierte </w:t>
            </w:r>
            <w:r w:rsidR="008D36AD">
              <w:t>Leistungsfeststellung</w:t>
            </w:r>
          </w:p>
        </w:tc>
        <w:tc>
          <w:tcPr>
            <w:tcW w:w="6520" w:type="dxa"/>
            <w:tcBorders>
              <w:bottom w:val="single" w:sz="4" w:space="0" w:color="auto"/>
            </w:tcBorders>
          </w:tcPr>
          <w:p w14:paraId="552F7D5B" w14:textId="5C9595FC" w:rsidR="00FB4B43" w:rsidRDefault="00FB4B43" w:rsidP="00FB4B43">
            <w:r>
              <w:t xml:space="preserve">Dokumentationsmappe zum Anfertigungsprozess der </w:t>
            </w:r>
            <w:r w:rsidR="00F63C08">
              <w:t>(</w:t>
            </w:r>
            <w:r w:rsidR="00F63C08" w:rsidRPr="006734B6">
              <w:t>digitalen)</w:t>
            </w:r>
            <w:r w:rsidR="00F63C08">
              <w:t xml:space="preserve"> </w:t>
            </w:r>
            <w:r>
              <w:t>Handlungsempfehlung</w:t>
            </w:r>
            <w:r w:rsidR="00F63C08">
              <w:t xml:space="preserve"> </w:t>
            </w:r>
            <w:r>
              <w:t>(Zielgruppenanalyse, Kreativüberlegungen, digitale Version, Auswahlbegründung, Entwurfsphase</w:t>
            </w:r>
            <w:r w:rsidR="00F63C08">
              <w:t xml:space="preserve"> und Umsetzung</w:t>
            </w:r>
            <w:r>
              <w:t>)</w:t>
            </w:r>
          </w:p>
          <w:p w14:paraId="2E8B341E" w14:textId="224C846B" w:rsidR="008D36AD" w:rsidRDefault="00FB4B43" w:rsidP="008D36AD">
            <w:r>
              <w:t>Klausur (</w:t>
            </w:r>
            <w:r w:rsidR="00F63C08">
              <w:t>Fachkompetenzen</w:t>
            </w:r>
            <w:r>
              <w:t>)</w:t>
            </w:r>
          </w:p>
        </w:tc>
      </w:tr>
      <w:tr w:rsidR="00A62DE1" w:rsidRPr="00A62DE1" w14:paraId="0D0EC4E2" w14:textId="77777777" w:rsidTr="00FE6060">
        <w:trPr>
          <w:trHeight w:val="397"/>
        </w:trPr>
        <w:tc>
          <w:tcPr>
            <w:tcW w:w="9209" w:type="dxa"/>
            <w:gridSpan w:val="2"/>
            <w:shd w:val="clear" w:color="auto" w:fill="BFBFBF" w:themeFill="background1" w:themeFillShade="BF"/>
          </w:tcPr>
          <w:p w14:paraId="4AC545AC" w14:textId="77777777" w:rsidR="008A5E5F" w:rsidRPr="00A62DE1" w:rsidRDefault="008A5E5F" w:rsidP="008A5E5F">
            <w:pPr>
              <w:rPr>
                <w:b/>
              </w:rPr>
            </w:pPr>
            <w:r w:rsidRPr="00C07C0D">
              <w:rPr>
                <w:b/>
                <w:color w:val="5B9BD5" w:themeColor="accent1"/>
              </w:rPr>
              <w:t>Hinweise Distanzunterricht:</w:t>
            </w:r>
          </w:p>
        </w:tc>
      </w:tr>
      <w:tr w:rsidR="008A5E5F" w:rsidRPr="008A5E5F" w14:paraId="27DB496D" w14:textId="77777777" w:rsidTr="00FE6060">
        <w:trPr>
          <w:trHeight w:val="850"/>
        </w:trPr>
        <w:tc>
          <w:tcPr>
            <w:tcW w:w="9209" w:type="dxa"/>
            <w:gridSpan w:val="2"/>
          </w:tcPr>
          <w:p w14:paraId="4E5425C7" w14:textId="3BE5A772" w:rsidR="00835B00" w:rsidRPr="002E695D" w:rsidRDefault="00835B00" w:rsidP="00AD7983">
            <w:pPr>
              <w:spacing w:before="120" w:after="180"/>
              <w:rPr>
                <w:rFonts w:cstheme="minorHAnsi"/>
                <w:color w:val="5B9BD5" w:themeColor="accent1"/>
              </w:rPr>
            </w:pPr>
            <w:r w:rsidRPr="002E695D">
              <w:rPr>
                <w:rFonts w:cstheme="minorHAnsi"/>
                <w:color w:val="5B9BD5" w:themeColor="accent1"/>
              </w:rPr>
              <w:t>Voraussetzungen und Ausgestaltungsmöglichkeiten des Distanzunterrichtes</w:t>
            </w:r>
            <w:r w:rsidR="00AD7983">
              <w:rPr>
                <w:rFonts w:cstheme="minorHAnsi"/>
                <w:color w:val="5B9BD5" w:themeColor="accent1"/>
              </w:rPr>
              <w:t>: Orientierungshilfen bieten zahlreiche Literaturquellen, z. B. die »Checkliste digitalen Unterrichts«</w:t>
            </w:r>
            <w:r w:rsidR="002E695D">
              <w:rPr>
                <w:rFonts w:cstheme="minorHAnsi"/>
                <w:color w:val="5B9BD5" w:themeColor="accent1"/>
              </w:rPr>
              <w:t xml:space="preserve"> </w:t>
            </w:r>
            <w:r w:rsidR="002E695D">
              <w:rPr>
                <w:rStyle w:val="Funotenzeichen"/>
                <w:rFonts w:cstheme="minorHAnsi"/>
                <w:color w:val="5B9BD5" w:themeColor="accent1"/>
              </w:rPr>
              <w:footnoteReference w:id="1"/>
            </w:r>
            <w:r w:rsidRPr="002E695D">
              <w:rPr>
                <w:rFonts w:cstheme="minorHAnsi"/>
                <w:color w:val="5B9BD5" w:themeColor="accent1"/>
              </w:rPr>
              <w:t>:</w:t>
            </w:r>
          </w:p>
          <w:p w14:paraId="0C0335EE" w14:textId="25AE6AF4" w:rsidR="00835B00" w:rsidRPr="002E695D" w:rsidRDefault="00835B00" w:rsidP="008A0EF2">
            <w:pPr>
              <w:pStyle w:val="Listenabsatz"/>
              <w:numPr>
                <w:ilvl w:val="0"/>
                <w:numId w:val="8"/>
              </w:numPr>
              <w:tabs>
                <w:tab w:val="left" w:pos="113"/>
                <w:tab w:val="left" w:pos="284"/>
              </w:tabs>
              <w:spacing w:after="180" w:line="259" w:lineRule="auto"/>
              <w:ind w:left="113" w:hanging="113"/>
              <w:rPr>
                <w:rFonts w:cstheme="minorHAnsi"/>
                <w:color w:val="5B9BD5" w:themeColor="accent1"/>
              </w:rPr>
            </w:pPr>
            <w:r w:rsidRPr="002E695D">
              <w:rPr>
                <w:rFonts w:cstheme="minorHAnsi"/>
                <w:color w:val="5B9BD5" w:themeColor="accent1"/>
              </w:rPr>
              <w:t>Leistungsfähige Serverinfrastruktur: schuleigener Server (der datenschutzrechtlich abgesichert ist)</w:t>
            </w:r>
            <w:r w:rsidR="008A0EF2" w:rsidRPr="002E695D">
              <w:rPr>
                <w:rFonts w:cstheme="minorHAnsi"/>
                <w:color w:val="5B9BD5" w:themeColor="accent1"/>
              </w:rPr>
              <w:t>.</w:t>
            </w:r>
          </w:p>
          <w:p w14:paraId="002ADAE4" w14:textId="2D1B566E" w:rsidR="00835B00" w:rsidRPr="002E695D" w:rsidRDefault="00835B00" w:rsidP="008A0EF2">
            <w:pPr>
              <w:pStyle w:val="Listenabsatz"/>
              <w:numPr>
                <w:ilvl w:val="0"/>
                <w:numId w:val="8"/>
              </w:numPr>
              <w:tabs>
                <w:tab w:val="left" w:pos="113"/>
                <w:tab w:val="left" w:pos="284"/>
              </w:tabs>
              <w:spacing w:after="180" w:line="259" w:lineRule="auto"/>
              <w:ind w:left="113" w:hanging="113"/>
              <w:rPr>
                <w:rFonts w:cstheme="minorHAnsi"/>
                <w:color w:val="5B9BD5" w:themeColor="accent1"/>
              </w:rPr>
            </w:pPr>
            <w:r w:rsidRPr="002E695D">
              <w:rPr>
                <w:rFonts w:cstheme="minorHAnsi"/>
                <w:color w:val="5B9BD5" w:themeColor="accent1"/>
              </w:rPr>
              <w:t>Nutzung eines Lernmanagementsystems (LMS)</w:t>
            </w:r>
          </w:p>
          <w:p w14:paraId="5A8D934D" w14:textId="77777777" w:rsidR="00835B00" w:rsidRPr="002E695D" w:rsidRDefault="00835B00" w:rsidP="008A0EF2">
            <w:pPr>
              <w:pStyle w:val="Listenabsatz"/>
              <w:numPr>
                <w:ilvl w:val="0"/>
                <w:numId w:val="8"/>
              </w:numPr>
              <w:tabs>
                <w:tab w:val="left" w:pos="113"/>
                <w:tab w:val="left" w:pos="284"/>
              </w:tabs>
              <w:spacing w:after="180" w:line="259" w:lineRule="auto"/>
              <w:ind w:left="113" w:hanging="113"/>
              <w:rPr>
                <w:rFonts w:cstheme="minorHAnsi"/>
                <w:color w:val="5B9BD5" w:themeColor="accent1"/>
              </w:rPr>
            </w:pPr>
            <w:proofErr w:type="spellStart"/>
            <w:r w:rsidRPr="002E695D">
              <w:rPr>
                <w:rFonts w:cstheme="minorHAnsi"/>
                <w:color w:val="5B9BD5" w:themeColor="accent1"/>
              </w:rPr>
              <w:t>kollaborative</w:t>
            </w:r>
            <w:proofErr w:type="spellEnd"/>
            <w:r w:rsidRPr="002E695D">
              <w:rPr>
                <w:rFonts w:cstheme="minorHAnsi"/>
                <w:color w:val="5B9BD5" w:themeColor="accent1"/>
              </w:rPr>
              <w:t xml:space="preserve"> Software (im einfachsten Fall ein gemeinsamer Editor, eine Projektmanagement-Lösung, …).</w:t>
            </w:r>
          </w:p>
          <w:p w14:paraId="5FECE640" w14:textId="4DE6AE02" w:rsidR="00835B00" w:rsidRPr="002E695D" w:rsidRDefault="008A0EF2" w:rsidP="008A0EF2">
            <w:pPr>
              <w:pStyle w:val="Listenabsatz"/>
              <w:numPr>
                <w:ilvl w:val="0"/>
                <w:numId w:val="8"/>
              </w:numPr>
              <w:tabs>
                <w:tab w:val="left" w:pos="113"/>
                <w:tab w:val="left" w:pos="284"/>
              </w:tabs>
              <w:spacing w:after="180" w:line="259" w:lineRule="auto"/>
              <w:ind w:left="113" w:hanging="113"/>
              <w:rPr>
                <w:rFonts w:cstheme="minorHAnsi"/>
                <w:color w:val="5B9BD5" w:themeColor="accent1"/>
              </w:rPr>
            </w:pPr>
            <w:proofErr w:type="spellStart"/>
            <w:r w:rsidRPr="002E695D">
              <w:rPr>
                <w:rFonts w:cstheme="minorHAnsi"/>
                <w:color w:val="5B9BD5" w:themeColor="accent1"/>
                <w:lang w:val="en-US"/>
              </w:rPr>
              <w:t>Nutzung</w:t>
            </w:r>
            <w:proofErr w:type="spellEnd"/>
            <w:r w:rsidRPr="002E695D">
              <w:rPr>
                <w:rFonts w:cstheme="minorHAnsi"/>
                <w:color w:val="5B9BD5" w:themeColor="accent1"/>
                <w:lang w:val="en-US"/>
              </w:rPr>
              <w:t xml:space="preserve"> </w:t>
            </w:r>
            <w:proofErr w:type="spellStart"/>
            <w:r w:rsidRPr="002E695D">
              <w:rPr>
                <w:rFonts w:cstheme="minorHAnsi"/>
                <w:color w:val="5B9BD5" w:themeColor="accent1"/>
                <w:lang w:val="en-US"/>
              </w:rPr>
              <w:t>eines</w:t>
            </w:r>
            <w:proofErr w:type="spellEnd"/>
            <w:r w:rsidRPr="002E695D">
              <w:rPr>
                <w:rFonts w:cstheme="minorHAnsi"/>
                <w:color w:val="5B9BD5" w:themeColor="accent1"/>
                <w:lang w:val="en-US"/>
              </w:rPr>
              <w:t xml:space="preserve"> </w:t>
            </w:r>
            <w:proofErr w:type="spellStart"/>
            <w:r w:rsidR="00835B00" w:rsidRPr="002E695D">
              <w:rPr>
                <w:rFonts w:cstheme="minorHAnsi"/>
                <w:color w:val="5B9BD5" w:themeColor="accent1"/>
                <w:lang w:val="en-US"/>
              </w:rPr>
              <w:t>Videokonferenzsystem</w:t>
            </w:r>
            <w:r w:rsidRPr="002E695D">
              <w:rPr>
                <w:rFonts w:cstheme="minorHAnsi"/>
                <w:color w:val="5B9BD5" w:themeColor="accent1"/>
                <w:lang w:val="en-US"/>
              </w:rPr>
              <w:t>s</w:t>
            </w:r>
            <w:proofErr w:type="spellEnd"/>
            <w:r w:rsidRPr="002E695D">
              <w:rPr>
                <w:rFonts w:cstheme="minorHAnsi"/>
                <w:color w:val="5B9BD5" w:themeColor="accent1"/>
                <w:lang w:val="en-US"/>
              </w:rPr>
              <w:t>:</w:t>
            </w:r>
            <w:r w:rsidR="00835B00" w:rsidRPr="002E695D">
              <w:rPr>
                <w:rFonts w:cstheme="minorHAnsi"/>
                <w:color w:val="5B9BD5" w:themeColor="accent1"/>
                <w:lang w:val="en-US"/>
              </w:rPr>
              <w:t xml:space="preserve"> </w:t>
            </w:r>
            <w:r w:rsidR="00835B00" w:rsidRPr="002E695D">
              <w:rPr>
                <w:rFonts w:cstheme="minorHAnsi"/>
                <w:color w:val="5B9BD5" w:themeColor="accent1"/>
              </w:rPr>
              <w:t>Online-Gruppenarbeitsräume sind einzurichten.</w:t>
            </w:r>
          </w:p>
          <w:p w14:paraId="1CCDED5A" w14:textId="37DC18FF" w:rsidR="00835B00" w:rsidRPr="002E695D" w:rsidRDefault="00835B00" w:rsidP="008A0EF2">
            <w:pPr>
              <w:pStyle w:val="Listenabsatz"/>
              <w:numPr>
                <w:ilvl w:val="0"/>
                <w:numId w:val="8"/>
              </w:numPr>
              <w:tabs>
                <w:tab w:val="left" w:pos="113"/>
                <w:tab w:val="left" w:pos="284"/>
              </w:tabs>
              <w:spacing w:after="180" w:line="259" w:lineRule="auto"/>
              <w:ind w:left="113" w:hanging="113"/>
              <w:rPr>
                <w:rFonts w:cstheme="minorHAnsi"/>
                <w:color w:val="5B9BD5" w:themeColor="accent1"/>
              </w:rPr>
            </w:pPr>
            <w:r w:rsidRPr="002E695D">
              <w:rPr>
                <w:rFonts w:cstheme="minorHAnsi"/>
                <w:color w:val="5B9BD5" w:themeColor="accent1"/>
              </w:rPr>
              <w:t>Nutzung kostenfreier Lern- und Feedbacktools sowie Links, z. B.:</w:t>
            </w:r>
            <w:r w:rsidRPr="002E695D">
              <w:rPr>
                <w:rFonts w:cstheme="minorHAnsi"/>
                <w:color w:val="5B9BD5" w:themeColor="accent1"/>
              </w:rPr>
              <w:br/>
              <w:t xml:space="preserve">Software zur Erstellung der Handlungsergebnisse (z. B. Videos, Animationen, Präsentationen, Audiodateien, visuelle Präsentation von Modellen, Programme, Texte, Websites, Broschüren, Plakate, </w:t>
            </w:r>
            <w:proofErr w:type="spellStart"/>
            <w:r w:rsidRPr="002E695D">
              <w:rPr>
                <w:rFonts w:cstheme="minorHAnsi"/>
                <w:color w:val="5B9BD5" w:themeColor="accent1"/>
              </w:rPr>
              <w:t>Mind-Maps</w:t>
            </w:r>
            <w:proofErr w:type="spellEnd"/>
            <w:r w:rsidRPr="002E695D">
              <w:rPr>
                <w:rFonts w:cstheme="minorHAnsi"/>
                <w:color w:val="5B9BD5" w:themeColor="accent1"/>
              </w:rPr>
              <w:t>, Kanban Boards, Fotos)</w:t>
            </w:r>
            <w:r w:rsidR="00AD7983">
              <w:rPr>
                <w:rFonts w:cstheme="minorHAnsi"/>
                <w:color w:val="5B9BD5" w:themeColor="accent1"/>
              </w:rPr>
              <w:t xml:space="preserve">. Eine mögliche Übersicht findet sich im »digitalen Werkzeugkoffer« </w:t>
            </w:r>
            <w:r w:rsidR="008A0EF2" w:rsidRPr="002E695D">
              <w:rPr>
                <w:rStyle w:val="Funotenzeichen"/>
                <w:rFonts w:cstheme="minorHAnsi"/>
                <w:color w:val="5B9BD5" w:themeColor="accent1"/>
              </w:rPr>
              <w:footnoteReference w:id="2"/>
            </w:r>
          </w:p>
          <w:p w14:paraId="4FD1E97C" w14:textId="4150D0A1" w:rsidR="00835B00" w:rsidRPr="002E695D" w:rsidRDefault="00835B00" w:rsidP="008A0EF2">
            <w:pPr>
              <w:pStyle w:val="Listenabsatz"/>
              <w:numPr>
                <w:ilvl w:val="0"/>
                <w:numId w:val="8"/>
              </w:numPr>
              <w:tabs>
                <w:tab w:val="left" w:pos="113"/>
                <w:tab w:val="left" w:pos="284"/>
              </w:tabs>
              <w:spacing w:after="180" w:line="259" w:lineRule="auto"/>
              <w:ind w:left="113" w:hanging="113"/>
              <w:rPr>
                <w:rFonts w:cstheme="minorHAnsi"/>
                <w:color w:val="5B9BD5" w:themeColor="accent1"/>
              </w:rPr>
            </w:pPr>
            <w:r w:rsidRPr="002E695D">
              <w:rPr>
                <w:rFonts w:cstheme="minorHAnsi"/>
                <w:color w:val="5B9BD5" w:themeColor="accent1"/>
              </w:rPr>
              <w:t>Hinweise zur Nutzung geeigneter Lerntools</w:t>
            </w:r>
            <w:r w:rsidR="00FD64BA">
              <w:rPr>
                <w:rFonts w:cstheme="minorHAnsi"/>
                <w:color w:val="5B9BD5" w:themeColor="accent1"/>
              </w:rPr>
              <w:t xml:space="preserve"> und Lernplattformen</w:t>
            </w:r>
            <w:r w:rsidRPr="002E695D">
              <w:rPr>
                <w:rFonts w:cstheme="minorHAnsi"/>
                <w:color w:val="5B9BD5" w:themeColor="accent1"/>
              </w:rPr>
              <w:t xml:space="preserve"> finden sich u. a. in den Hinweisen der Fachberatung Lebensmittelwissenschaft, Stand: 2020</w:t>
            </w:r>
            <w:r w:rsidR="00FD64BA">
              <w:rPr>
                <w:rFonts w:cstheme="minorHAnsi"/>
                <w:color w:val="5B9BD5" w:themeColor="accent1"/>
              </w:rPr>
              <w:t>.</w:t>
            </w:r>
            <w:r w:rsidRPr="002E695D">
              <w:rPr>
                <w:rFonts w:cstheme="minorHAnsi"/>
                <w:color w:val="5B9BD5" w:themeColor="accent1"/>
              </w:rPr>
              <w:t xml:space="preserve"> </w:t>
            </w:r>
            <w:r w:rsidR="006A0290">
              <w:rPr>
                <w:rStyle w:val="Funotenzeichen"/>
                <w:rFonts w:cstheme="minorHAnsi"/>
                <w:color w:val="5B9BD5" w:themeColor="accent1"/>
              </w:rPr>
              <w:footnoteReference w:id="3"/>
            </w:r>
          </w:p>
          <w:p w14:paraId="10870BC5" w14:textId="681C3C41" w:rsidR="00CA0A08" w:rsidRPr="007E6696" w:rsidRDefault="00835B00" w:rsidP="007E6696">
            <w:pPr>
              <w:pStyle w:val="Listenabsatz"/>
              <w:numPr>
                <w:ilvl w:val="0"/>
                <w:numId w:val="8"/>
              </w:numPr>
              <w:tabs>
                <w:tab w:val="left" w:pos="113"/>
                <w:tab w:val="left" w:pos="284"/>
              </w:tabs>
              <w:spacing w:after="180" w:line="259" w:lineRule="auto"/>
              <w:ind w:left="113" w:hanging="113"/>
              <w:rPr>
                <w:rFonts w:cstheme="minorHAnsi"/>
                <w:color w:val="5B9BD5" w:themeColor="accent1"/>
              </w:rPr>
            </w:pPr>
            <w:r w:rsidRPr="002E695D">
              <w:rPr>
                <w:rFonts w:cstheme="minorHAnsi"/>
                <w:color w:val="5B9BD5" w:themeColor="accent1"/>
              </w:rPr>
              <w:t xml:space="preserve">Hinweise zur Anwendung von Lerntools im Distanz- und Präsenzunterricht: Die ausgewählten Tools müssen den Schülerinnen und Schülern vorgestellt werden. Eine Einführung in die einzelnen Lerntools über die Lehrkräfte ist unabdingbar und wichtig für das Gelingen des </w:t>
            </w:r>
            <w:r w:rsidRPr="00CA0A08">
              <w:rPr>
                <w:rFonts w:cstheme="minorHAnsi"/>
                <w:color w:val="5B9BD5" w:themeColor="accent1"/>
              </w:rPr>
              <w:t>Unterrichts.</w:t>
            </w:r>
          </w:p>
        </w:tc>
      </w:tr>
    </w:tbl>
    <w:p w14:paraId="229CB1AB" w14:textId="77777777" w:rsidR="008A5E5F" w:rsidRPr="008A5E5F" w:rsidRDefault="008A5E5F" w:rsidP="008A5E5F">
      <w:pPr>
        <w:sectPr w:rsidR="008A5E5F" w:rsidRPr="008A5E5F" w:rsidSect="008A5E5F">
          <w:footerReference w:type="default" r:id="rId10"/>
          <w:pgSz w:w="11906" w:h="16838"/>
          <w:pgMar w:top="720" w:right="720" w:bottom="720" w:left="720" w:header="426" w:footer="174" w:gutter="0"/>
          <w:cols w:space="708"/>
          <w:titlePg/>
          <w:docGrid w:linePitch="360"/>
        </w:sectPr>
      </w:pPr>
    </w:p>
    <w:tbl>
      <w:tblPr>
        <w:tblStyle w:val="Tabellenraster"/>
        <w:tblW w:w="9924" w:type="dxa"/>
        <w:tblInd w:w="-431" w:type="dxa"/>
        <w:tblLook w:val="04A0" w:firstRow="1" w:lastRow="0" w:firstColumn="1" w:lastColumn="0" w:noHBand="0" w:noVBand="1"/>
      </w:tblPr>
      <w:tblGrid>
        <w:gridCol w:w="1941"/>
        <w:gridCol w:w="2547"/>
        <w:gridCol w:w="2401"/>
        <w:gridCol w:w="3035"/>
      </w:tblGrid>
      <w:tr w:rsidR="002A6235" w:rsidRPr="008A5E5F" w14:paraId="7641B71C" w14:textId="77777777" w:rsidTr="000D1C99">
        <w:trPr>
          <w:trHeight w:val="680"/>
          <w:tblHeader/>
        </w:trPr>
        <w:tc>
          <w:tcPr>
            <w:tcW w:w="1941" w:type="dxa"/>
            <w:vMerge w:val="restart"/>
            <w:shd w:val="clear" w:color="auto" w:fill="BFBFBF" w:themeFill="background1" w:themeFillShade="BF"/>
          </w:tcPr>
          <w:p w14:paraId="13779ADC" w14:textId="77777777" w:rsidR="002A6235" w:rsidRPr="008A5E5F" w:rsidRDefault="002A6235" w:rsidP="008A5E5F">
            <w:pPr>
              <w:rPr>
                <w:b/>
              </w:rPr>
            </w:pPr>
            <w:bookmarkStart w:id="1" w:name="Maske" w:colFirst="0" w:colLast="0"/>
            <w:r w:rsidRPr="008A5E5F">
              <w:rPr>
                <w:b/>
              </w:rPr>
              <w:lastRenderedPageBreak/>
              <w:t>Handlungsphasen</w:t>
            </w:r>
          </w:p>
          <w:p w14:paraId="6E7CAA48" w14:textId="77777777" w:rsidR="002A6235" w:rsidRPr="008A5E5F" w:rsidRDefault="002A6235" w:rsidP="008A5E5F">
            <w:pPr>
              <w:rPr>
                <w:b/>
              </w:rPr>
            </w:pPr>
            <w:r w:rsidRPr="008A5E5F">
              <w:rPr>
                <w:b/>
              </w:rPr>
              <w:t xml:space="preserve">(laut </w:t>
            </w:r>
            <w:proofErr w:type="spellStart"/>
            <w:r w:rsidRPr="008A5E5F">
              <w:rPr>
                <w:b/>
              </w:rPr>
              <w:t>SchuCu</w:t>
            </w:r>
            <w:proofErr w:type="spellEnd"/>
            <w:r w:rsidRPr="008A5E5F">
              <w:rPr>
                <w:b/>
              </w:rPr>
              <w:t>-BBS, Glossar)</w:t>
            </w:r>
          </w:p>
        </w:tc>
        <w:tc>
          <w:tcPr>
            <w:tcW w:w="4948" w:type="dxa"/>
            <w:gridSpan w:val="2"/>
            <w:tcBorders>
              <w:bottom w:val="single" w:sz="4" w:space="0" w:color="auto"/>
            </w:tcBorders>
            <w:shd w:val="clear" w:color="auto" w:fill="BFBFBF" w:themeFill="background1" w:themeFillShade="BF"/>
          </w:tcPr>
          <w:p w14:paraId="1A49954E" w14:textId="77777777" w:rsidR="002A6235" w:rsidRPr="008A5E5F" w:rsidRDefault="002A6235" w:rsidP="008A5E5F">
            <w:pPr>
              <w:rPr>
                <w:b/>
              </w:rPr>
            </w:pPr>
            <w:r w:rsidRPr="008A5E5F">
              <w:rPr>
                <w:b/>
              </w:rPr>
              <w:t>Angestrebte Kompetenzen</w:t>
            </w:r>
          </w:p>
        </w:tc>
        <w:tc>
          <w:tcPr>
            <w:tcW w:w="3035" w:type="dxa"/>
            <w:vMerge w:val="restart"/>
            <w:shd w:val="clear" w:color="auto" w:fill="BFBFBF" w:themeFill="background1" w:themeFillShade="BF"/>
          </w:tcPr>
          <w:p w14:paraId="37C26038" w14:textId="77777777" w:rsidR="002A6235" w:rsidRPr="008A5E5F" w:rsidRDefault="002A6235" w:rsidP="008A5E5F">
            <w:pPr>
              <w:rPr>
                <w:b/>
              </w:rPr>
            </w:pPr>
            <w:r w:rsidRPr="008A5E5F">
              <w:rPr>
                <w:b/>
              </w:rPr>
              <w:t>Unterrichtsmethoden,</w:t>
            </w:r>
          </w:p>
          <w:p w14:paraId="36F228C0" w14:textId="77777777" w:rsidR="002A6235" w:rsidRPr="008A5E5F" w:rsidRDefault="002A6235" w:rsidP="008A5E5F">
            <w:pPr>
              <w:rPr>
                <w:b/>
              </w:rPr>
            </w:pPr>
            <w:r w:rsidRPr="008A5E5F">
              <w:rPr>
                <w:b/>
              </w:rPr>
              <w:t>Medien/Materialien/</w:t>
            </w:r>
          </w:p>
          <w:p w14:paraId="03121084" w14:textId="7081650D" w:rsidR="002A6235" w:rsidRPr="008A5E5F" w:rsidRDefault="002A6235" w:rsidP="008A5E5F">
            <w:pPr>
              <w:rPr>
                <w:b/>
              </w:rPr>
            </w:pPr>
            <w:r w:rsidRPr="008A5E5F">
              <w:rPr>
                <w:b/>
              </w:rPr>
              <w:t xml:space="preserve">Hinweise zum </w:t>
            </w:r>
            <w:r w:rsidR="00752D1D">
              <w:rPr>
                <w:b/>
              </w:rPr>
              <w:t xml:space="preserve">Präsenz- und </w:t>
            </w:r>
            <w:r w:rsidRPr="00FD64BA">
              <w:rPr>
                <w:b/>
                <w:color w:val="5B9BD5" w:themeColor="accent1"/>
              </w:rPr>
              <w:t>Distanzunterricht</w:t>
            </w:r>
          </w:p>
          <w:p w14:paraId="6710455C" w14:textId="77777777" w:rsidR="002A6235" w:rsidRPr="008A5E5F" w:rsidRDefault="002A6235" w:rsidP="008A5E5F">
            <w:pPr>
              <w:rPr>
                <w:b/>
              </w:rPr>
            </w:pPr>
          </w:p>
        </w:tc>
      </w:tr>
      <w:tr w:rsidR="002A6235" w:rsidRPr="008A5E5F" w14:paraId="56779009" w14:textId="77777777" w:rsidTr="000D1C99">
        <w:trPr>
          <w:trHeight w:val="626"/>
          <w:tblHeader/>
        </w:trPr>
        <w:tc>
          <w:tcPr>
            <w:tcW w:w="1941" w:type="dxa"/>
            <w:vMerge/>
          </w:tcPr>
          <w:p w14:paraId="521A9219" w14:textId="77777777" w:rsidR="002A6235" w:rsidRPr="008A5E5F" w:rsidRDefault="002A6235" w:rsidP="008A5E5F"/>
        </w:tc>
        <w:tc>
          <w:tcPr>
            <w:tcW w:w="2547" w:type="dxa"/>
            <w:shd w:val="clear" w:color="auto" w:fill="BFBFBF" w:themeFill="background1" w:themeFillShade="BF"/>
            <w:vAlign w:val="center"/>
          </w:tcPr>
          <w:p w14:paraId="6063BCB2" w14:textId="2C692D94" w:rsidR="002A6235" w:rsidRPr="008A5E5F" w:rsidRDefault="002A6235" w:rsidP="008A5E5F">
            <w:r w:rsidRPr="008A5E5F">
              <w:t>Fach</w:t>
            </w:r>
            <w:r w:rsidR="00752D1D">
              <w:softHyphen/>
            </w:r>
            <w:r w:rsidR="00372148">
              <w:t>-</w:t>
            </w:r>
            <w:r w:rsidR="00752D1D">
              <w:br/>
            </w:r>
            <w:proofErr w:type="spellStart"/>
            <w:r w:rsidRPr="008A5E5F">
              <w:t>kompetenzen</w:t>
            </w:r>
            <w:proofErr w:type="spellEnd"/>
          </w:p>
        </w:tc>
        <w:tc>
          <w:tcPr>
            <w:tcW w:w="2401" w:type="dxa"/>
            <w:shd w:val="clear" w:color="auto" w:fill="BFBFBF" w:themeFill="background1" w:themeFillShade="BF"/>
            <w:vAlign w:val="center"/>
          </w:tcPr>
          <w:p w14:paraId="6D4ADCEA" w14:textId="6A7862F4" w:rsidR="002A6235" w:rsidRPr="000E410D" w:rsidRDefault="002A6235" w:rsidP="008A5E5F">
            <w:pPr>
              <w:rPr>
                <w:color w:val="000000" w:themeColor="text1"/>
              </w:rPr>
            </w:pPr>
            <w:r w:rsidRPr="008A5E5F">
              <w:t>Personale</w:t>
            </w:r>
            <w:r w:rsidR="00A52B3B">
              <w:br/>
            </w:r>
            <w:r w:rsidRPr="008A5E5F">
              <w:t>Kompetenzen</w:t>
            </w:r>
            <w:r w:rsidR="00F63C08">
              <w:t xml:space="preserve"> </w:t>
            </w:r>
            <w:r w:rsidR="00F63C08" w:rsidRPr="007C301A">
              <w:rPr>
                <w:sz w:val="18"/>
                <w:szCs w:val="18"/>
              </w:rPr>
              <w:t>(mit Lern- und Arbeitstechniken</w:t>
            </w:r>
            <w:r w:rsidR="00CE09B0">
              <w:rPr>
                <w:sz w:val="18"/>
                <w:szCs w:val="18"/>
              </w:rPr>
              <w:t xml:space="preserve"> (L+A</w:t>
            </w:r>
            <w:r w:rsidR="00CE09B0" w:rsidRPr="000E410D">
              <w:rPr>
                <w:color w:val="000000" w:themeColor="text1"/>
                <w:sz w:val="18"/>
                <w:szCs w:val="18"/>
              </w:rPr>
              <w:t>)</w:t>
            </w:r>
            <w:r w:rsidR="00F63C08" w:rsidRPr="000E410D">
              <w:rPr>
                <w:color w:val="000000" w:themeColor="text1"/>
                <w:sz w:val="18"/>
                <w:szCs w:val="18"/>
              </w:rPr>
              <w:t>)</w:t>
            </w:r>
          </w:p>
        </w:tc>
        <w:tc>
          <w:tcPr>
            <w:tcW w:w="3035" w:type="dxa"/>
            <w:vMerge/>
          </w:tcPr>
          <w:p w14:paraId="6C09FE8E" w14:textId="77777777" w:rsidR="002A6235" w:rsidRPr="008A5E5F" w:rsidRDefault="002A6235" w:rsidP="008A5E5F"/>
        </w:tc>
      </w:tr>
      <w:tr w:rsidR="00330322" w:rsidRPr="008A5E5F" w14:paraId="2A60E3E3" w14:textId="77777777" w:rsidTr="000D1C99">
        <w:trPr>
          <w:trHeight w:val="418"/>
        </w:trPr>
        <w:tc>
          <w:tcPr>
            <w:tcW w:w="1941" w:type="dxa"/>
          </w:tcPr>
          <w:p w14:paraId="43DD8C40" w14:textId="77777777" w:rsidR="00330322" w:rsidRPr="008A5E5F" w:rsidRDefault="00330322" w:rsidP="008A5E5F"/>
        </w:tc>
        <w:tc>
          <w:tcPr>
            <w:tcW w:w="4948" w:type="dxa"/>
            <w:gridSpan w:val="2"/>
            <w:vAlign w:val="center"/>
          </w:tcPr>
          <w:p w14:paraId="255A4B11" w14:textId="29526655" w:rsidR="00330322" w:rsidRPr="008A5E5F" w:rsidRDefault="00330322" w:rsidP="008A5E5F">
            <w:r w:rsidRPr="008A5E5F">
              <w:t>Die Schülerinnen und Schüler …</w:t>
            </w:r>
          </w:p>
        </w:tc>
        <w:tc>
          <w:tcPr>
            <w:tcW w:w="3035" w:type="dxa"/>
            <w:tcBorders>
              <w:bottom w:val="single" w:sz="4" w:space="0" w:color="auto"/>
            </w:tcBorders>
          </w:tcPr>
          <w:p w14:paraId="13FEA086" w14:textId="4F499D01" w:rsidR="00330322" w:rsidRPr="00752D1D" w:rsidRDefault="00A52B3B" w:rsidP="008A5E5F">
            <w:pPr>
              <w:rPr>
                <w:sz w:val="20"/>
                <w:szCs w:val="20"/>
              </w:rPr>
            </w:pPr>
            <w:r w:rsidRPr="00FD64BA">
              <w:rPr>
                <w:color w:val="5B9BD5" w:themeColor="accent1"/>
                <w:sz w:val="20"/>
                <w:szCs w:val="20"/>
              </w:rPr>
              <w:t xml:space="preserve">Durchgängige Nutzung </w:t>
            </w:r>
            <w:r w:rsidR="003574A8" w:rsidRPr="00FD64BA">
              <w:rPr>
                <w:color w:val="5B9BD5" w:themeColor="accent1"/>
                <w:sz w:val="20"/>
                <w:szCs w:val="20"/>
              </w:rPr>
              <w:t xml:space="preserve">von </w:t>
            </w:r>
            <w:r w:rsidRPr="00FD64BA">
              <w:rPr>
                <w:color w:val="5B9BD5" w:themeColor="accent1"/>
                <w:sz w:val="20"/>
                <w:szCs w:val="20"/>
              </w:rPr>
              <w:t>Videokonferenz</w:t>
            </w:r>
            <w:r w:rsidR="00FD64BA" w:rsidRPr="00FD64BA">
              <w:rPr>
                <w:color w:val="5B9BD5" w:themeColor="accent1"/>
                <w:sz w:val="20"/>
                <w:szCs w:val="20"/>
              </w:rPr>
              <w:t>systemen</w:t>
            </w:r>
          </w:p>
        </w:tc>
      </w:tr>
      <w:tr w:rsidR="00752D1D" w:rsidRPr="008A5E5F" w14:paraId="21136B5A" w14:textId="77777777" w:rsidTr="000D1C99">
        <w:trPr>
          <w:trHeight w:val="2795"/>
        </w:trPr>
        <w:tc>
          <w:tcPr>
            <w:tcW w:w="1941" w:type="dxa"/>
            <w:vMerge w:val="restart"/>
          </w:tcPr>
          <w:p w14:paraId="62133F93" w14:textId="77777777" w:rsidR="00752D1D" w:rsidRPr="00CA0B57" w:rsidRDefault="00752D1D" w:rsidP="008A5E5F">
            <w:pPr>
              <w:rPr>
                <w:b/>
                <w:sz w:val="20"/>
                <w:szCs w:val="20"/>
              </w:rPr>
            </w:pPr>
            <w:r w:rsidRPr="00CA0B57">
              <w:rPr>
                <w:b/>
                <w:sz w:val="20"/>
                <w:szCs w:val="20"/>
              </w:rPr>
              <w:t>Informieren</w:t>
            </w:r>
          </w:p>
          <w:p w14:paraId="177AC884" w14:textId="77777777" w:rsidR="00752D1D" w:rsidRPr="00330322" w:rsidRDefault="00752D1D" w:rsidP="008A5E5F">
            <w:pPr>
              <w:rPr>
                <w:b/>
                <w:i/>
                <w:sz w:val="18"/>
                <w:szCs w:val="18"/>
              </w:rPr>
            </w:pPr>
            <w:r w:rsidRPr="00330322">
              <w:rPr>
                <w:i/>
                <w:sz w:val="18"/>
                <w:szCs w:val="18"/>
              </w:rPr>
              <w:t>Die Schülerinnen und Schüler analysieren und erfassen im Rahmen einer Handlungssituation die komplexe Aufgaben-, Frage- bzw. Problemstellung unter Berücksichtigung eines möglichen Handlungsergebnisses</w:t>
            </w:r>
            <w:r w:rsidRPr="00330322">
              <w:rPr>
                <w:b/>
                <w:i/>
                <w:sz w:val="18"/>
                <w:szCs w:val="18"/>
              </w:rPr>
              <w:t>.</w:t>
            </w:r>
          </w:p>
        </w:tc>
        <w:tc>
          <w:tcPr>
            <w:tcW w:w="2547" w:type="dxa"/>
            <w:vMerge w:val="restart"/>
          </w:tcPr>
          <w:p w14:paraId="5DBBC974" w14:textId="77777777" w:rsidR="0090766F" w:rsidRDefault="0090766F" w:rsidP="008E6DFB">
            <w:pPr>
              <w:ind w:left="170" w:hanging="170"/>
              <w:rPr>
                <w:sz w:val="20"/>
                <w:szCs w:val="20"/>
              </w:rPr>
            </w:pPr>
          </w:p>
          <w:p w14:paraId="0F713262" w14:textId="23751538" w:rsidR="00752D1D" w:rsidRPr="00CA0B57" w:rsidRDefault="00752D1D" w:rsidP="008E6DFB">
            <w:pPr>
              <w:ind w:left="170" w:hanging="170"/>
              <w:rPr>
                <w:sz w:val="20"/>
                <w:szCs w:val="20"/>
              </w:rPr>
            </w:pPr>
            <w:r w:rsidRPr="00CA0B57">
              <w:rPr>
                <w:sz w:val="20"/>
                <w:szCs w:val="20"/>
              </w:rPr>
              <w:t>…</w:t>
            </w:r>
            <w:r w:rsidRPr="00CA0B57">
              <w:rPr>
                <w:sz w:val="20"/>
                <w:szCs w:val="20"/>
              </w:rPr>
              <w:tab/>
              <w:t>beschreiben die aktuelle Ernährungslage in Deutschland.</w:t>
            </w:r>
          </w:p>
          <w:p w14:paraId="04A69FD0" w14:textId="77777777" w:rsidR="00752D1D" w:rsidRPr="00CA0B57" w:rsidRDefault="00752D1D" w:rsidP="008E6DFB">
            <w:pPr>
              <w:ind w:left="170" w:hanging="170"/>
              <w:rPr>
                <w:sz w:val="20"/>
                <w:szCs w:val="20"/>
              </w:rPr>
            </w:pPr>
            <w:r w:rsidRPr="00CA0B57">
              <w:rPr>
                <w:sz w:val="20"/>
                <w:szCs w:val="20"/>
              </w:rPr>
              <w:t>…</w:t>
            </w:r>
            <w:r w:rsidRPr="00CA0B57">
              <w:rPr>
                <w:sz w:val="20"/>
                <w:szCs w:val="20"/>
              </w:rPr>
              <w:tab/>
              <w:t>stellen die Inhaltsstoffe von Lebensmitteln und ihre grundsätzlichen Aufgaben für den Menschen dar.</w:t>
            </w:r>
          </w:p>
          <w:p w14:paraId="30987A89" w14:textId="77777777" w:rsidR="008E6DFB" w:rsidRDefault="00752D1D" w:rsidP="008E6DFB">
            <w:pPr>
              <w:ind w:left="170" w:hanging="170"/>
              <w:rPr>
                <w:sz w:val="20"/>
                <w:szCs w:val="20"/>
              </w:rPr>
            </w:pPr>
            <w:r w:rsidRPr="00CA0B57">
              <w:rPr>
                <w:sz w:val="20"/>
                <w:szCs w:val="20"/>
              </w:rPr>
              <w:t>…</w:t>
            </w:r>
            <w:r w:rsidRPr="00CA0B57">
              <w:rPr>
                <w:sz w:val="20"/>
                <w:szCs w:val="20"/>
              </w:rPr>
              <w:tab/>
              <w:t>erklären aktuelle grundsätzliche Ernährungsempfehlungen.</w:t>
            </w:r>
          </w:p>
          <w:p w14:paraId="431FA5D1" w14:textId="384455B3" w:rsidR="008E6DFB" w:rsidRPr="00CA0B57" w:rsidRDefault="008E6DFB" w:rsidP="008E6DFB">
            <w:pPr>
              <w:ind w:left="170" w:hanging="170"/>
              <w:rPr>
                <w:sz w:val="20"/>
                <w:szCs w:val="20"/>
              </w:rPr>
            </w:pPr>
            <w:r w:rsidRPr="00CA0B57">
              <w:rPr>
                <w:sz w:val="20"/>
                <w:szCs w:val="20"/>
              </w:rPr>
              <w:t>…</w:t>
            </w:r>
            <w:r w:rsidRPr="00CA0B57">
              <w:rPr>
                <w:sz w:val="20"/>
                <w:szCs w:val="20"/>
              </w:rPr>
              <w:tab/>
              <w:t>prüfen ihr eigenes Ernährungsverhalten.</w:t>
            </w:r>
          </w:p>
          <w:p w14:paraId="30292382" w14:textId="77777777" w:rsidR="008E6DFB" w:rsidRPr="00CA0B57" w:rsidRDefault="008E6DFB" w:rsidP="008E6DFB">
            <w:pPr>
              <w:ind w:left="170" w:hanging="170"/>
              <w:rPr>
                <w:sz w:val="20"/>
                <w:szCs w:val="20"/>
              </w:rPr>
            </w:pPr>
            <w:r w:rsidRPr="00CA0B57">
              <w:rPr>
                <w:sz w:val="20"/>
                <w:szCs w:val="20"/>
              </w:rPr>
              <w:t>…</w:t>
            </w:r>
            <w:r w:rsidRPr="00CA0B57">
              <w:rPr>
                <w:sz w:val="20"/>
                <w:szCs w:val="20"/>
              </w:rPr>
              <w:tab/>
              <w:t>untersuchen den Energie- und Nährstoffgehalt ausgesuchter Lebensmittel.</w:t>
            </w:r>
          </w:p>
          <w:p w14:paraId="5C6B28D3" w14:textId="3544113D" w:rsidR="00752D1D" w:rsidRPr="0090766F" w:rsidRDefault="008E6DFB" w:rsidP="008E6DFB">
            <w:pPr>
              <w:ind w:left="170" w:hanging="170"/>
              <w:rPr>
                <w:sz w:val="20"/>
                <w:szCs w:val="20"/>
              </w:rPr>
            </w:pPr>
            <w:r w:rsidRPr="00CA0B57">
              <w:rPr>
                <w:sz w:val="20"/>
                <w:szCs w:val="20"/>
              </w:rPr>
              <w:t>…</w:t>
            </w:r>
            <w:r w:rsidRPr="00CA0B57">
              <w:rPr>
                <w:sz w:val="20"/>
                <w:szCs w:val="20"/>
              </w:rPr>
              <w:tab/>
              <w:t>erläutern Referenzwerte zum Energie- und Nährstoffbedarf und zur Einschätzung eines optimalen Körpergewichtes.</w:t>
            </w:r>
          </w:p>
        </w:tc>
        <w:tc>
          <w:tcPr>
            <w:tcW w:w="2401" w:type="dxa"/>
            <w:vMerge w:val="restart"/>
          </w:tcPr>
          <w:p w14:paraId="2569877C" w14:textId="77777777" w:rsidR="0090766F" w:rsidRDefault="0090766F" w:rsidP="00752D1D">
            <w:pPr>
              <w:ind w:left="171" w:hanging="171"/>
              <w:rPr>
                <w:rFonts w:ascii="Calibri" w:eastAsia="Calibri" w:hAnsi="Calibri" w:cs="Times New Roman"/>
                <w:sz w:val="20"/>
                <w:szCs w:val="20"/>
              </w:rPr>
            </w:pPr>
          </w:p>
          <w:p w14:paraId="4FCB7EEA" w14:textId="082C4541" w:rsidR="00752D1D" w:rsidRDefault="00752D1D" w:rsidP="00752D1D">
            <w:pPr>
              <w:ind w:left="171" w:hanging="171"/>
              <w:rPr>
                <w:rFonts w:eastAsia="FranklinGotCdITC-Book" w:cs="FranklinGotCdITC-Book"/>
                <w:sz w:val="20"/>
                <w:szCs w:val="20"/>
              </w:rPr>
            </w:pPr>
            <w:r w:rsidRPr="00D14A1D">
              <w:rPr>
                <w:rFonts w:ascii="Calibri" w:eastAsia="Calibri" w:hAnsi="Calibri" w:cs="Times New Roman"/>
                <w:sz w:val="20"/>
                <w:szCs w:val="20"/>
              </w:rPr>
              <w:t>…</w:t>
            </w:r>
            <w:r w:rsidRPr="00D14A1D">
              <w:rPr>
                <w:rFonts w:eastAsia="FranklinGotCdITC-Book" w:cs="FranklinGotCdITC-Book"/>
                <w:sz w:val="20"/>
                <w:szCs w:val="20"/>
              </w:rPr>
              <w:tab/>
            </w:r>
            <w:r>
              <w:rPr>
                <w:rFonts w:eastAsia="FranklinGotCdITC-Book" w:cs="FranklinGotCdITC-Book"/>
                <w:sz w:val="20"/>
                <w:szCs w:val="20"/>
              </w:rPr>
              <w:t>analysieren die Problemstellung anhand von Leitfragen.</w:t>
            </w:r>
          </w:p>
          <w:p w14:paraId="4CD0A741" w14:textId="77777777" w:rsidR="00752D1D" w:rsidRPr="00D14A1D" w:rsidRDefault="00752D1D" w:rsidP="00752D1D">
            <w:pPr>
              <w:ind w:left="171" w:hanging="171"/>
              <w:rPr>
                <w:sz w:val="20"/>
                <w:szCs w:val="20"/>
              </w:rPr>
            </w:pPr>
            <w:r w:rsidRPr="00D14A1D">
              <w:rPr>
                <w:rFonts w:ascii="Calibri" w:eastAsia="Calibri" w:hAnsi="Calibri" w:cs="Times New Roman"/>
                <w:sz w:val="20"/>
                <w:szCs w:val="20"/>
              </w:rPr>
              <w:t>…</w:t>
            </w:r>
            <w:r w:rsidRPr="00D14A1D">
              <w:rPr>
                <w:rFonts w:eastAsia="FranklinGotCdITC-Book" w:cs="FranklinGotCdITC-Book"/>
                <w:sz w:val="20"/>
                <w:szCs w:val="20"/>
              </w:rPr>
              <w:tab/>
            </w:r>
            <w:r w:rsidRPr="00CA3F61">
              <w:rPr>
                <w:rFonts w:eastAsia="FranklinGotCdITC-Book" w:cs="FranklinGotCdITC-Book"/>
                <w:sz w:val="20"/>
                <w:szCs w:val="20"/>
              </w:rPr>
              <w:t>stellen</w:t>
            </w:r>
            <w:r>
              <w:rPr>
                <w:rFonts w:eastAsia="FranklinGotCdITC-Book" w:cs="FranklinGotCdITC-Book"/>
                <w:sz w:val="20"/>
                <w:szCs w:val="20"/>
              </w:rPr>
              <w:t xml:space="preserve"> Informationen grafisch dar.</w:t>
            </w:r>
          </w:p>
          <w:p w14:paraId="7BAD570E" w14:textId="77777777" w:rsidR="00752D1D" w:rsidRDefault="00752D1D" w:rsidP="00752D1D">
            <w:pPr>
              <w:spacing w:after="120"/>
              <w:ind w:left="170" w:hanging="170"/>
              <w:rPr>
                <w:rFonts w:eastAsia="FranklinGotCdITC-Book" w:cs="FranklinGotCdITC-Book"/>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formulieren einen Newsletter.</w:t>
            </w:r>
          </w:p>
          <w:p w14:paraId="5BC88957" w14:textId="77777777" w:rsidR="00752D1D" w:rsidRDefault="00752D1D" w:rsidP="00CA0B57">
            <w:pPr>
              <w:ind w:left="171" w:hanging="171"/>
              <w:rPr>
                <w:rFonts w:eastAsia="FranklinGotCdITC-Book" w:cs="FranklinGotCdITC-Book"/>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führen Gespräche sach- und zielorientiert.</w:t>
            </w:r>
          </w:p>
          <w:p w14:paraId="0C5CAFD0" w14:textId="77777777" w:rsidR="008E6DFB" w:rsidRDefault="00752D1D" w:rsidP="008E6DFB">
            <w:pPr>
              <w:ind w:left="171" w:hanging="171"/>
              <w:rPr>
                <w:rFonts w:cs="Helvetica"/>
                <w:sz w:val="20"/>
                <w:szCs w:val="20"/>
              </w:rPr>
            </w:pPr>
            <w:r w:rsidRPr="00D14A1D">
              <w:rPr>
                <w:sz w:val="20"/>
                <w:szCs w:val="20"/>
              </w:rPr>
              <w:t>…</w:t>
            </w:r>
            <w:r w:rsidRPr="00D14A1D">
              <w:rPr>
                <w:rFonts w:eastAsia="FranklinGotCdITC-Book" w:cs="FranklinGotCdITC-Book"/>
                <w:sz w:val="20"/>
                <w:szCs w:val="20"/>
              </w:rPr>
              <w:tab/>
            </w:r>
            <w:r w:rsidRPr="00514058">
              <w:rPr>
                <w:rFonts w:cs="Helvetica"/>
                <w:sz w:val="20"/>
                <w:szCs w:val="20"/>
              </w:rPr>
              <w:t>hören aktiv zu.</w:t>
            </w:r>
          </w:p>
          <w:p w14:paraId="320D50E5" w14:textId="742D63DB" w:rsidR="008E6DFB" w:rsidRDefault="008E6DFB" w:rsidP="008E6DFB">
            <w:pPr>
              <w:ind w:left="171" w:hanging="171"/>
              <w:rPr>
                <w:rFonts w:eastAsia="FranklinGotCdITC-Book" w:cs="FranklinGotCdITC-Book"/>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führen ein Ernährungsprotokoll.</w:t>
            </w:r>
          </w:p>
          <w:p w14:paraId="43E51C63" w14:textId="77777777" w:rsidR="008E6DFB" w:rsidRDefault="008E6DFB" w:rsidP="008E6DFB">
            <w:pPr>
              <w:ind w:left="171" w:hanging="171"/>
              <w:rPr>
                <w:rFonts w:eastAsia="FranklinGotCdITC-Book" w:cs="FranklinGotCdITC-Book"/>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führen ein Stationenlernen durch.</w:t>
            </w:r>
          </w:p>
          <w:p w14:paraId="31D12722" w14:textId="77777777" w:rsidR="008E6DFB" w:rsidRDefault="008E6DFB" w:rsidP="008E6DFB">
            <w:pPr>
              <w:ind w:left="171" w:hanging="171"/>
              <w:rPr>
                <w:rFonts w:eastAsia="FranklinGotCdITC-Book" w:cs="FranklinGotCdITC-Book"/>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wenden digitale Apps/ Berechnungsprogramme an.</w:t>
            </w:r>
          </w:p>
          <w:p w14:paraId="477EC879" w14:textId="5AD17DBA" w:rsidR="008E6DFB" w:rsidRDefault="008E6DFB" w:rsidP="008E6DFB">
            <w:pPr>
              <w:ind w:left="171" w:hanging="171"/>
              <w:rPr>
                <w:rFonts w:cs="Helvetica"/>
                <w:sz w:val="20"/>
                <w:szCs w:val="20"/>
              </w:rPr>
            </w:pPr>
            <w:r w:rsidRPr="00D14A1D">
              <w:rPr>
                <w:sz w:val="20"/>
                <w:szCs w:val="20"/>
              </w:rPr>
              <w:t>…</w:t>
            </w:r>
            <w:r w:rsidRPr="00D14A1D">
              <w:rPr>
                <w:rFonts w:eastAsia="FranklinGotCdITC-Book" w:cs="FranklinGotCdITC-Book"/>
                <w:sz w:val="20"/>
                <w:szCs w:val="20"/>
              </w:rPr>
              <w:tab/>
            </w:r>
            <w:r w:rsidRPr="00514058">
              <w:rPr>
                <w:rFonts w:cs="Helvetica"/>
                <w:sz w:val="20"/>
                <w:szCs w:val="20"/>
              </w:rPr>
              <w:t>formulieren Ich-Botschaften.</w:t>
            </w:r>
          </w:p>
          <w:p w14:paraId="65DDA0DF" w14:textId="77777777" w:rsidR="008E6DFB" w:rsidRPr="00D14A1D" w:rsidRDefault="008E6DFB" w:rsidP="008E6DFB">
            <w:pPr>
              <w:ind w:left="171" w:hanging="171"/>
              <w:rPr>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begründen ihre Meinung.</w:t>
            </w:r>
          </w:p>
          <w:p w14:paraId="1609FB53" w14:textId="02717FD4" w:rsidR="00752D1D" w:rsidRPr="008A5E5F" w:rsidRDefault="008E6DFB" w:rsidP="008E6DFB">
            <w:pPr>
              <w:ind w:left="171" w:hanging="171"/>
            </w:pPr>
            <w:r w:rsidRPr="00D14A1D">
              <w:rPr>
                <w:rFonts w:ascii="Calibri" w:eastAsia="Calibri" w:hAnsi="Calibri" w:cs="Times New Roman"/>
                <w:sz w:val="20"/>
                <w:szCs w:val="20"/>
              </w:rPr>
              <w:t>…</w:t>
            </w:r>
            <w:r w:rsidRPr="00D14A1D">
              <w:rPr>
                <w:rFonts w:eastAsia="FranklinGotCdITC-Book" w:cs="FranklinGotCdITC-Book"/>
                <w:sz w:val="20"/>
                <w:szCs w:val="20"/>
              </w:rPr>
              <w:tab/>
            </w:r>
            <w:r>
              <w:rPr>
                <w:rFonts w:eastAsia="FranklinGotCdITC-Book" w:cs="FranklinGotCdITC-Book"/>
                <w:sz w:val="20"/>
                <w:szCs w:val="20"/>
              </w:rPr>
              <w:t>geben sich gegenseitig Hilfestellungen.</w:t>
            </w:r>
          </w:p>
        </w:tc>
        <w:tc>
          <w:tcPr>
            <w:tcW w:w="3035" w:type="dxa"/>
            <w:tcBorders>
              <w:bottom w:val="single" w:sz="4" w:space="0" w:color="auto"/>
            </w:tcBorders>
          </w:tcPr>
          <w:p w14:paraId="20AD7410" w14:textId="77777777" w:rsidR="0090766F" w:rsidRDefault="0090766F" w:rsidP="00CA0B57">
            <w:pPr>
              <w:rPr>
                <w:rFonts w:ascii="Calibri" w:eastAsia="Calibri" w:hAnsi="Calibri" w:cs="Times New Roman"/>
                <w:sz w:val="20"/>
                <w:szCs w:val="20"/>
              </w:rPr>
            </w:pPr>
          </w:p>
          <w:p w14:paraId="266B3891" w14:textId="1F8A2A28" w:rsidR="00752D1D" w:rsidRDefault="00752D1D" w:rsidP="00CA0B57">
            <w:pPr>
              <w:rPr>
                <w:rFonts w:ascii="Calibri" w:eastAsia="Calibri" w:hAnsi="Calibri" w:cs="Times New Roman"/>
                <w:sz w:val="20"/>
                <w:szCs w:val="20"/>
              </w:rPr>
            </w:pPr>
            <w:r w:rsidRPr="00D14A1D">
              <w:rPr>
                <w:rFonts w:ascii="Calibri" w:eastAsia="Calibri" w:hAnsi="Calibri" w:cs="Times New Roman"/>
                <w:sz w:val="20"/>
                <w:szCs w:val="20"/>
              </w:rPr>
              <w:t>Ist-Soll-Diagramm</w:t>
            </w:r>
          </w:p>
          <w:p w14:paraId="726B570A" w14:textId="77777777" w:rsidR="0090766F" w:rsidRPr="00D14A1D" w:rsidRDefault="0090766F" w:rsidP="00CA0B57">
            <w:pPr>
              <w:rPr>
                <w:rFonts w:ascii="Calibri" w:eastAsia="Calibri" w:hAnsi="Calibri" w:cs="Times New Roman"/>
                <w:sz w:val="20"/>
                <w:szCs w:val="20"/>
              </w:rPr>
            </w:pPr>
          </w:p>
          <w:p w14:paraId="3268FE8D" w14:textId="1AF71990" w:rsidR="00752D1D" w:rsidRDefault="00752D1D" w:rsidP="00CA0B57">
            <w:pPr>
              <w:rPr>
                <w:rFonts w:ascii="Calibri" w:eastAsia="Calibri" w:hAnsi="Calibri" w:cs="Times New Roman"/>
                <w:sz w:val="20"/>
                <w:szCs w:val="20"/>
              </w:rPr>
            </w:pPr>
            <w:r w:rsidRPr="00D14A1D">
              <w:rPr>
                <w:rFonts w:ascii="Calibri" w:eastAsia="Calibri" w:hAnsi="Calibri" w:cs="Times New Roman"/>
                <w:sz w:val="20"/>
                <w:szCs w:val="20"/>
              </w:rPr>
              <w:t>Übersicht und Glossar (mit Links)</w:t>
            </w:r>
          </w:p>
          <w:p w14:paraId="149C77C4" w14:textId="77777777" w:rsidR="0090766F" w:rsidRPr="00D14A1D" w:rsidRDefault="0090766F" w:rsidP="00CA0B57">
            <w:pPr>
              <w:rPr>
                <w:rFonts w:ascii="Calibri" w:eastAsia="Calibri" w:hAnsi="Calibri" w:cs="Times New Roman"/>
                <w:sz w:val="20"/>
                <w:szCs w:val="20"/>
              </w:rPr>
            </w:pPr>
          </w:p>
          <w:p w14:paraId="3B561920" w14:textId="3FD6FFAB" w:rsidR="00752D1D" w:rsidRDefault="00752D1D" w:rsidP="00752D1D">
            <w:pPr>
              <w:rPr>
                <w:rFonts w:ascii="Calibri" w:eastAsia="Calibri" w:hAnsi="Calibri" w:cs="Times New Roman"/>
                <w:sz w:val="20"/>
                <w:szCs w:val="20"/>
              </w:rPr>
            </w:pPr>
            <w:r w:rsidRPr="00D14A1D">
              <w:rPr>
                <w:rFonts w:ascii="Calibri" w:eastAsia="Calibri" w:hAnsi="Calibri" w:cs="Times New Roman"/>
                <w:sz w:val="20"/>
                <w:szCs w:val="20"/>
              </w:rPr>
              <w:t>Newsletter</w:t>
            </w:r>
          </w:p>
          <w:p w14:paraId="361B256E" w14:textId="4A77AC6D" w:rsidR="008E6DFB" w:rsidRDefault="008E6DFB" w:rsidP="00752D1D">
            <w:pPr>
              <w:rPr>
                <w:rFonts w:ascii="Calibri" w:eastAsia="Calibri" w:hAnsi="Calibri" w:cs="Times New Roman"/>
                <w:sz w:val="20"/>
                <w:szCs w:val="20"/>
              </w:rPr>
            </w:pPr>
          </w:p>
          <w:p w14:paraId="06CD896A" w14:textId="77777777" w:rsidR="008E6DFB" w:rsidRPr="00D14A1D" w:rsidRDefault="008E6DFB" w:rsidP="008E6DFB">
            <w:pPr>
              <w:rPr>
                <w:rFonts w:ascii="Calibri" w:eastAsia="Calibri" w:hAnsi="Calibri" w:cs="Times New Roman"/>
                <w:sz w:val="20"/>
                <w:szCs w:val="20"/>
              </w:rPr>
            </w:pPr>
            <w:r w:rsidRPr="00D14A1D">
              <w:rPr>
                <w:rFonts w:ascii="Calibri" w:eastAsia="Calibri" w:hAnsi="Calibri" w:cs="Times New Roman"/>
                <w:sz w:val="20"/>
                <w:szCs w:val="20"/>
              </w:rPr>
              <w:t>ausgewertetes Ernährungsprotokoll</w:t>
            </w:r>
          </w:p>
          <w:p w14:paraId="161D615B" w14:textId="77777777" w:rsidR="008E6DFB" w:rsidRPr="00D14A1D" w:rsidRDefault="008E6DFB" w:rsidP="008E6DFB">
            <w:pPr>
              <w:rPr>
                <w:rFonts w:ascii="Calibri" w:eastAsia="Calibri" w:hAnsi="Calibri" w:cs="Times New Roman"/>
                <w:sz w:val="20"/>
                <w:szCs w:val="20"/>
              </w:rPr>
            </w:pPr>
            <w:r w:rsidRPr="00D14A1D">
              <w:rPr>
                <w:rFonts w:ascii="Calibri" w:eastAsia="Calibri" w:hAnsi="Calibri" w:cs="Times New Roman"/>
                <w:sz w:val="20"/>
                <w:szCs w:val="20"/>
              </w:rPr>
              <w:t>Stationen-Ergebnisse</w:t>
            </w:r>
          </w:p>
          <w:p w14:paraId="002C9C3B" w14:textId="77777777" w:rsidR="008E6DFB" w:rsidRPr="00D14A1D" w:rsidRDefault="008E6DFB" w:rsidP="008E6DFB">
            <w:pPr>
              <w:rPr>
                <w:rFonts w:ascii="Calibri" w:eastAsia="Calibri" w:hAnsi="Calibri" w:cs="Times New Roman"/>
                <w:sz w:val="20"/>
                <w:szCs w:val="20"/>
              </w:rPr>
            </w:pPr>
          </w:p>
          <w:p w14:paraId="6C1EA5AA" w14:textId="4A723170" w:rsidR="008E6DFB" w:rsidRDefault="008E6DFB" w:rsidP="008E6DFB">
            <w:pPr>
              <w:rPr>
                <w:rFonts w:ascii="Calibri" w:eastAsia="Calibri" w:hAnsi="Calibri" w:cs="Times New Roman"/>
                <w:sz w:val="20"/>
                <w:szCs w:val="20"/>
              </w:rPr>
            </w:pPr>
            <w:r w:rsidRPr="00D14A1D">
              <w:rPr>
                <w:rFonts w:ascii="Calibri" w:eastAsia="Calibri" w:hAnsi="Calibri" w:cs="Times New Roman"/>
                <w:sz w:val="20"/>
                <w:szCs w:val="20"/>
              </w:rPr>
              <w:t>Glossar (mit Links)</w:t>
            </w:r>
          </w:p>
          <w:p w14:paraId="4BDCFE4E" w14:textId="7814D51E" w:rsidR="008E6DFB" w:rsidRDefault="008E6DFB" w:rsidP="00752D1D">
            <w:pPr>
              <w:rPr>
                <w:rFonts w:ascii="Calibri" w:eastAsia="Calibri" w:hAnsi="Calibri" w:cs="Times New Roman"/>
                <w:sz w:val="20"/>
                <w:szCs w:val="20"/>
              </w:rPr>
            </w:pPr>
          </w:p>
          <w:p w14:paraId="17FB5C5F" w14:textId="7A7156A5" w:rsidR="0090766F" w:rsidRPr="00752D1D" w:rsidRDefault="0090766F" w:rsidP="00752D1D">
            <w:pPr>
              <w:rPr>
                <w:rFonts w:ascii="Calibri" w:eastAsia="Calibri" w:hAnsi="Calibri" w:cs="Times New Roman"/>
                <w:sz w:val="20"/>
                <w:szCs w:val="20"/>
              </w:rPr>
            </w:pPr>
            <w:proofErr w:type="spellStart"/>
            <w:r w:rsidRPr="00FD64BA">
              <w:rPr>
                <w:rFonts w:ascii="Calibri" w:eastAsia="Calibri" w:hAnsi="Calibri" w:cs="Times New Roman"/>
                <w:color w:val="5B9BD5" w:themeColor="accent1"/>
                <w:sz w:val="20"/>
                <w:szCs w:val="20"/>
              </w:rPr>
              <w:t>Lerntool</w:t>
            </w:r>
            <w:proofErr w:type="spellEnd"/>
            <w:r w:rsidRPr="00FD64BA">
              <w:rPr>
                <w:rFonts w:ascii="Calibri" w:eastAsia="Calibri" w:hAnsi="Calibri" w:cs="Times New Roman"/>
                <w:color w:val="5B9BD5" w:themeColor="accent1"/>
                <w:sz w:val="20"/>
                <w:szCs w:val="20"/>
              </w:rPr>
              <w:t xml:space="preserve"> zur </w:t>
            </w:r>
            <w:r w:rsidR="005E5BA3" w:rsidRPr="00FD64BA">
              <w:rPr>
                <w:rFonts w:ascii="Calibri" w:eastAsia="Calibri" w:hAnsi="Calibri" w:cs="Times New Roman"/>
                <w:color w:val="5B9BD5" w:themeColor="accent1"/>
                <w:sz w:val="20"/>
                <w:szCs w:val="20"/>
              </w:rPr>
              <w:t>W</w:t>
            </w:r>
            <w:r w:rsidRPr="00FD64BA">
              <w:rPr>
                <w:rFonts w:ascii="Calibri" w:eastAsia="Calibri" w:hAnsi="Calibri" w:cs="Times New Roman"/>
                <w:color w:val="5B9BD5" w:themeColor="accent1"/>
                <w:sz w:val="20"/>
                <w:szCs w:val="20"/>
              </w:rPr>
              <w:t>issensvermittlung</w:t>
            </w:r>
            <w:r w:rsidR="00FD64BA">
              <w:rPr>
                <w:rFonts w:ascii="Calibri" w:eastAsia="Calibri" w:hAnsi="Calibri" w:cs="Times New Roman"/>
                <w:sz w:val="20"/>
                <w:szCs w:val="20"/>
              </w:rPr>
              <w:br/>
            </w:r>
          </w:p>
        </w:tc>
      </w:tr>
      <w:tr w:rsidR="00752D1D" w:rsidRPr="008A5E5F" w14:paraId="5A2794AE" w14:textId="77777777" w:rsidTr="000D1C99">
        <w:trPr>
          <w:trHeight w:val="1798"/>
        </w:trPr>
        <w:tc>
          <w:tcPr>
            <w:tcW w:w="1941" w:type="dxa"/>
            <w:vMerge/>
          </w:tcPr>
          <w:p w14:paraId="0E1ADB4A" w14:textId="77777777" w:rsidR="00752D1D" w:rsidRPr="00CA0B57" w:rsidRDefault="00752D1D" w:rsidP="008A5E5F">
            <w:pPr>
              <w:rPr>
                <w:b/>
                <w:sz w:val="20"/>
                <w:szCs w:val="20"/>
              </w:rPr>
            </w:pPr>
          </w:p>
        </w:tc>
        <w:tc>
          <w:tcPr>
            <w:tcW w:w="2547" w:type="dxa"/>
            <w:vMerge/>
          </w:tcPr>
          <w:p w14:paraId="375B4B6C" w14:textId="77777777" w:rsidR="00752D1D" w:rsidRPr="00CA0B57" w:rsidRDefault="00752D1D" w:rsidP="00806341">
            <w:pPr>
              <w:rPr>
                <w:sz w:val="20"/>
                <w:szCs w:val="20"/>
              </w:rPr>
            </w:pPr>
          </w:p>
        </w:tc>
        <w:tc>
          <w:tcPr>
            <w:tcW w:w="2401" w:type="dxa"/>
            <w:vMerge/>
          </w:tcPr>
          <w:p w14:paraId="44694826" w14:textId="77777777" w:rsidR="00752D1D" w:rsidRPr="00D14A1D" w:rsidRDefault="00752D1D" w:rsidP="00CA0B57">
            <w:pPr>
              <w:ind w:left="171" w:hanging="171"/>
              <w:rPr>
                <w:sz w:val="20"/>
                <w:szCs w:val="20"/>
              </w:rPr>
            </w:pPr>
          </w:p>
        </w:tc>
        <w:tc>
          <w:tcPr>
            <w:tcW w:w="3035" w:type="dxa"/>
            <w:tcBorders>
              <w:bottom w:val="single" w:sz="4" w:space="0" w:color="auto"/>
            </w:tcBorders>
          </w:tcPr>
          <w:p w14:paraId="5E3AD55D" w14:textId="05DDEC58" w:rsidR="00752D1D" w:rsidRPr="00FD64BA" w:rsidRDefault="00752D1D" w:rsidP="00CA0B57">
            <w:pPr>
              <w:rPr>
                <w:color w:val="5B9BD5" w:themeColor="accent1"/>
                <w:sz w:val="20"/>
                <w:szCs w:val="20"/>
              </w:rPr>
            </w:pPr>
            <w:r w:rsidRPr="00FD64BA">
              <w:rPr>
                <w:color w:val="5B9BD5" w:themeColor="accent1"/>
                <w:sz w:val="20"/>
                <w:szCs w:val="20"/>
              </w:rPr>
              <w:t>Video oder Podcast der Lehrkraft</w:t>
            </w:r>
          </w:p>
          <w:p w14:paraId="1112B0B0" w14:textId="77777777" w:rsidR="00843924" w:rsidRPr="00FD64BA" w:rsidRDefault="00752D1D" w:rsidP="00CA0B57">
            <w:pPr>
              <w:rPr>
                <w:color w:val="5B9BD5" w:themeColor="accent1"/>
                <w:sz w:val="20"/>
                <w:szCs w:val="20"/>
              </w:rPr>
            </w:pPr>
            <w:r w:rsidRPr="00FD64BA">
              <w:rPr>
                <w:color w:val="5B9BD5" w:themeColor="accent1"/>
                <w:sz w:val="20"/>
                <w:szCs w:val="20"/>
              </w:rPr>
              <w:t>Alternativen:</w:t>
            </w:r>
          </w:p>
          <w:p w14:paraId="24AADA8E" w14:textId="650522BE" w:rsidR="00752D1D" w:rsidRPr="00FD64BA" w:rsidRDefault="00752D1D" w:rsidP="00CA0B57">
            <w:pPr>
              <w:rPr>
                <w:color w:val="5B9BD5" w:themeColor="accent1"/>
                <w:sz w:val="20"/>
                <w:szCs w:val="20"/>
              </w:rPr>
            </w:pPr>
            <w:r w:rsidRPr="00FD64BA">
              <w:rPr>
                <w:color w:val="5B9BD5" w:themeColor="accent1"/>
                <w:sz w:val="20"/>
                <w:szCs w:val="20"/>
              </w:rPr>
              <w:t>Präsentationen, AB mit Arbeitsauftrag und Link zu geeigneten Internetmaterialien,</w:t>
            </w:r>
          </w:p>
          <w:p w14:paraId="1601B273" w14:textId="498BC1D7" w:rsidR="00752D1D" w:rsidRPr="00752D1D" w:rsidRDefault="00752D1D" w:rsidP="00CA0B57">
            <w:pPr>
              <w:rPr>
                <w:color w:val="4472C4" w:themeColor="accent5"/>
                <w:sz w:val="20"/>
                <w:szCs w:val="20"/>
              </w:rPr>
            </w:pPr>
            <w:r w:rsidRPr="00FD64BA">
              <w:rPr>
                <w:color w:val="5B9BD5" w:themeColor="accent1"/>
                <w:sz w:val="20"/>
                <w:szCs w:val="20"/>
              </w:rPr>
              <w:t>Lehrbücher, Internetrecherche und digitalisierte Anleitungen</w:t>
            </w:r>
          </w:p>
        </w:tc>
      </w:tr>
      <w:tr w:rsidR="000D1C99" w:rsidRPr="008A5E5F" w14:paraId="5C28709D" w14:textId="77777777" w:rsidTr="000D1C99">
        <w:trPr>
          <w:trHeight w:val="2990"/>
        </w:trPr>
        <w:tc>
          <w:tcPr>
            <w:tcW w:w="1941" w:type="dxa"/>
            <w:vMerge w:val="restart"/>
          </w:tcPr>
          <w:p w14:paraId="010A1013" w14:textId="09B81F7B" w:rsidR="000D1C99" w:rsidRPr="00CA0B57" w:rsidRDefault="000D1C99" w:rsidP="008A5E5F">
            <w:pPr>
              <w:rPr>
                <w:b/>
                <w:sz w:val="20"/>
                <w:szCs w:val="20"/>
              </w:rPr>
            </w:pPr>
            <w:r w:rsidRPr="00CA0B57">
              <w:rPr>
                <w:b/>
                <w:sz w:val="20"/>
                <w:szCs w:val="20"/>
              </w:rPr>
              <w:t>Planen</w:t>
            </w:r>
            <w:r>
              <w:rPr>
                <w:b/>
                <w:sz w:val="20"/>
                <w:szCs w:val="20"/>
              </w:rPr>
              <w:t xml:space="preserve"> und Entscheiden</w:t>
            </w:r>
          </w:p>
          <w:p w14:paraId="7A175B1A" w14:textId="0AAA231E" w:rsidR="000D1C99" w:rsidRPr="00330322" w:rsidRDefault="000D1C99" w:rsidP="00E018C7">
            <w:pPr>
              <w:rPr>
                <w:i/>
                <w:sz w:val="18"/>
                <w:szCs w:val="18"/>
              </w:rPr>
            </w:pPr>
            <w:r w:rsidRPr="00330322">
              <w:rPr>
                <w:i/>
                <w:sz w:val="18"/>
                <w:szCs w:val="18"/>
              </w:rPr>
              <w:t>Die Schülerinnen und Schüler planen</w:t>
            </w:r>
            <w:r>
              <w:rPr>
                <w:i/>
                <w:sz w:val="18"/>
                <w:szCs w:val="18"/>
              </w:rPr>
              <w:t xml:space="preserve"> und entscheiden über</w:t>
            </w:r>
            <w:r w:rsidRPr="00330322">
              <w:rPr>
                <w:i/>
                <w:sz w:val="18"/>
                <w:szCs w:val="18"/>
              </w:rPr>
              <w:t xml:space="preserve"> ihr Vorgehen zur Bearbeitung und Dokumentation der komplexen Aufgaben-, Frage- bzw. Problemstellung. Die Planung erfordert, sich Informationen für die Durchführung zu beschaffen, einen vorläufigen Arbeits- und Zeitplan zu erstellen, die angestrebte Art eines Handlungsergebnisses vorzuschlagen und mögliche Kriterien für die Kontrolle und Beurteilung des Handlungsergebnisses zu identifizieren.</w:t>
            </w:r>
            <w:r>
              <w:rPr>
                <w:i/>
                <w:sz w:val="18"/>
                <w:szCs w:val="18"/>
              </w:rPr>
              <w:br/>
            </w:r>
          </w:p>
        </w:tc>
        <w:tc>
          <w:tcPr>
            <w:tcW w:w="2547" w:type="dxa"/>
            <w:vMerge w:val="restart"/>
          </w:tcPr>
          <w:p w14:paraId="35D00DE6" w14:textId="77777777" w:rsidR="000D1C99" w:rsidRPr="000D1C99" w:rsidRDefault="000D1C99" w:rsidP="00CA0B57">
            <w:pPr>
              <w:rPr>
                <w:sz w:val="20"/>
                <w:szCs w:val="20"/>
              </w:rPr>
            </w:pPr>
          </w:p>
          <w:p w14:paraId="44B09C81" w14:textId="0B976F1B" w:rsidR="000D1C99" w:rsidRPr="000D1C99" w:rsidRDefault="000D1C99" w:rsidP="00CA0B57">
            <w:pPr>
              <w:rPr>
                <w:sz w:val="20"/>
                <w:szCs w:val="20"/>
              </w:rPr>
            </w:pPr>
          </w:p>
          <w:p w14:paraId="46BCFB32" w14:textId="50FDA6AC" w:rsidR="000D1C99" w:rsidRPr="000D1C99" w:rsidRDefault="000D1C99" w:rsidP="000D492B">
            <w:pPr>
              <w:ind w:left="170" w:hanging="170"/>
              <w:rPr>
                <w:sz w:val="20"/>
                <w:szCs w:val="20"/>
              </w:rPr>
            </w:pPr>
            <w:r w:rsidRPr="000D1C99">
              <w:rPr>
                <w:sz w:val="20"/>
                <w:szCs w:val="20"/>
              </w:rPr>
              <w:t>…</w:t>
            </w:r>
            <w:r w:rsidRPr="000D1C99">
              <w:rPr>
                <w:sz w:val="20"/>
                <w:szCs w:val="20"/>
              </w:rPr>
              <w:tab/>
              <w:t xml:space="preserve">entwickeln und entscheiden über einen einheitlichen Ablauf- und Arbeitsplan zur Entwicklung der </w:t>
            </w:r>
            <w:r w:rsidRPr="006734B6">
              <w:rPr>
                <w:color w:val="5B9BD5" w:themeColor="accent1"/>
                <w:sz w:val="20"/>
                <w:szCs w:val="20"/>
              </w:rPr>
              <w:t xml:space="preserve">(digitalen) </w:t>
            </w:r>
            <w:r w:rsidRPr="000D1C99">
              <w:rPr>
                <w:sz w:val="20"/>
                <w:szCs w:val="20"/>
              </w:rPr>
              <w:t>Handlungsempfehlung.</w:t>
            </w:r>
          </w:p>
          <w:p w14:paraId="740515CA" w14:textId="4248764A" w:rsidR="000D1C99" w:rsidRPr="000D1C99" w:rsidRDefault="000D1C99" w:rsidP="00EB5CF7">
            <w:pPr>
              <w:ind w:left="171" w:hanging="171"/>
              <w:rPr>
                <w:sz w:val="20"/>
                <w:szCs w:val="20"/>
              </w:rPr>
            </w:pPr>
            <w:r w:rsidRPr="000D1C99">
              <w:rPr>
                <w:sz w:val="20"/>
                <w:szCs w:val="20"/>
              </w:rPr>
              <w:t>…</w:t>
            </w:r>
            <w:r w:rsidRPr="000D1C99">
              <w:rPr>
                <w:rFonts w:eastAsia="FranklinGotCdITC-Book" w:cs="FranklinGotCdITC-Book"/>
                <w:sz w:val="20"/>
                <w:szCs w:val="20"/>
              </w:rPr>
              <w:tab/>
              <w:t xml:space="preserve">entwickeln </w:t>
            </w:r>
            <w:r>
              <w:rPr>
                <w:rFonts w:eastAsia="FranklinGotCdITC-Book" w:cs="FranklinGotCdITC-Book"/>
                <w:sz w:val="20"/>
                <w:szCs w:val="20"/>
              </w:rPr>
              <w:t xml:space="preserve">einen Katalog mit </w:t>
            </w:r>
            <w:r w:rsidRPr="000D1C99">
              <w:rPr>
                <w:sz w:val="20"/>
                <w:szCs w:val="20"/>
              </w:rPr>
              <w:t xml:space="preserve">Qualitätskriterien für die Bewertung </w:t>
            </w:r>
            <w:r w:rsidRPr="000D1C99">
              <w:rPr>
                <w:rFonts w:ascii="Calibri" w:eastAsia="Calibri" w:hAnsi="Calibri" w:cs="Times New Roman"/>
                <w:sz w:val="20"/>
                <w:szCs w:val="20"/>
              </w:rPr>
              <w:t xml:space="preserve">der </w:t>
            </w:r>
            <w:r w:rsidRPr="006734B6">
              <w:rPr>
                <w:rFonts w:ascii="Calibri" w:eastAsia="Calibri" w:hAnsi="Calibri" w:cs="Times New Roman"/>
                <w:color w:val="5B9BD5" w:themeColor="accent1"/>
                <w:sz w:val="20"/>
                <w:szCs w:val="20"/>
              </w:rPr>
              <w:t>(digitalen)</w:t>
            </w:r>
            <w:r w:rsidRPr="000D1C99">
              <w:rPr>
                <w:rFonts w:ascii="Calibri" w:eastAsia="Calibri" w:hAnsi="Calibri" w:cs="Times New Roman"/>
                <w:sz w:val="20"/>
                <w:szCs w:val="20"/>
              </w:rPr>
              <w:t xml:space="preserve"> Handlungsempfehlung.</w:t>
            </w:r>
          </w:p>
          <w:p w14:paraId="6D0EE91B" w14:textId="2C624820" w:rsidR="000D1C99" w:rsidRPr="000D1C99" w:rsidRDefault="000D1C99" w:rsidP="00CA0B57">
            <w:pPr>
              <w:rPr>
                <w:sz w:val="20"/>
                <w:szCs w:val="20"/>
              </w:rPr>
            </w:pPr>
          </w:p>
        </w:tc>
        <w:tc>
          <w:tcPr>
            <w:tcW w:w="2401" w:type="dxa"/>
            <w:vMerge w:val="restart"/>
          </w:tcPr>
          <w:p w14:paraId="67A2FF80" w14:textId="77777777" w:rsidR="000D1C99" w:rsidRPr="000D1C99" w:rsidRDefault="000D1C99" w:rsidP="008A5E5F">
            <w:pPr>
              <w:rPr>
                <w:sz w:val="20"/>
                <w:szCs w:val="20"/>
              </w:rPr>
            </w:pPr>
          </w:p>
          <w:p w14:paraId="2EE1C67E" w14:textId="77777777" w:rsidR="000D1C99" w:rsidRPr="000D1C99" w:rsidRDefault="000D1C99" w:rsidP="008A5E5F">
            <w:pPr>
              <w:rPr>
                <w:sz w:val="20"/>
                <w:szCs w:val="20"/>
              </w:rPr>
            </w:pPr>
          </w:p>
          <w:p w14:paraId="62C75312" w14:textId="440954D8" w:rsidR="000D1C99" w:rsidRPr="000D1C99" w:rsidRDefault="000D1C99" w:rsidP="00843924">
            <w:pPr>
              <w:ind w:left="171" w:hanging="171"/>
              <w:rPr>
                <w:rFonts w:eastAsia="FranklinGotCdITC-Book" w:cs="FranklinGotCdITC-Book"/>
                <w:sz w:val="20"/>
                <w:szCs w:val="20"/>
              </w:rPr>
            </w:pPr>
            <w:r w:rsidRPr="000D1C99">
              <w:rPr>
                <w:sz w:val="20"/>
                <w:szCs w:val="20"/>
              </w:rPr>
              <w:t>…</w:t>
            </w:r>
            <w:r w:rsidRPr="000D1C99">
              <w:rPr>
                <w:rFonts w:eastAsia="FranklinGotCdITC-Book" w:cs="FranklinGotCdITC-Book"/>
                <w:sz w:val="20"/>
                <w:szCs w:val="20"/>
              </w:rPr>
              <w:tab/>
              <w:t>wenden ansatzweise die Projektmethode an.</w:t>
            </w:r>
          </w:p>
          <w:p w14:paraId="7C7926D6" w14:textId="26A455DC" w:rsidR="000D1C99" w:rsidRPr="000D1C99" w:rsidRDefault="000D1C99" w:rsidP="000D492B">
            <w:pPr>
              <w:ind w:left="171" w:hanging="171"/>
              <w:rPr>
                <w:rFonts w:eastAsia="FranklinGotCdITC-Book" w:cs="FranklinGotCdITC-Book"/>
                <w:sz w:val="20"/>
                <w:szCs w:val="20"/>
              </w:rPr>
            </w:pPr>
            <w:r w:rsidRPr="000D1C99">
              <w:rPr>
                <w:sz w:val="20"/>
                <w:szCs w:val="20"/>
              </w:rPr>
              <w:t>…</w:t>
            </w:r>
            <w:r w:rsidRPr="000D1C99">
              <w:rPr>
                <w:rFonts w:eastAsia="FranklinGotCdITC-Book" w:cs="FranklinGotCdITC-Book"/>
                <w:sz w:val="20"/>
                <w:szCs w:val="20"/>
              </w:rPr>
              <w:tab/>
              <w:t>einigen sich auf ein Vorgehen.</w:t>
            </w:r>
          </w:p>
          <w:p w14:paraId="5B91608A" w14:textId="21749096" w:rsidR="000D1C99" w:rsidRPr="000D1C99" w:rsidRDefault="000D1C99" w:rsidP="000D492B">
            <w:pPr>
              <w:ind w:left="171" w:hanging="171"/>
              <w:rPr>
                <w:sz w:val="20"/>
                <w:szCs w:val="20"/>
              </w:rPr>
            </w:pPr>
            <w:r w:rsidRPr="000D1C99">
              <w:rPr>
                <w:sz w:val="20"/>
                <w:szCs w:val="20"/>
              </w:rPr>
              <w:t>…</w:t>
            </w:r>
            <w:r w:rsidRPr="000D1C99">
              <w:rPr>
                <w:rFonts w:eastAsia="FranklinGotCdITC-Book" w:cs="FranklinGotCdITC-Book"/>
                <w:sz w:val="20"/>
                <w:szCs w:val="20"/>
              </w:rPr>
              <w:tab/>
              <w:t>legen Rollen innerhalb ihrer Gruppe fest.</w:t>
            </w:r>
          </w:p>
          <w:p w14:paraId="7011B581" w14:textId="7330B6CD" w:rsidR="000D1C99" w:rsidRPr="000D1C99" w:rsidRDefault="000D1C99" w:rsidP="008A5E5F">
            <w:pPr>
              <w:rPr>
                <w:sz w:val="20"/>
                <w:szCs w:val="20"/>
              </w:rPr>
            </w:pPr>
          </w:p>
        </w:tc>
        <w:tc>
          <w:tcPr>
            <w:tcW w:w="3035" w:type="dxa"/>
          </w:tcPr>
          <w:p w14:paraId="6305CA6D" w14:textId="77777777" w:rsidR="000D1C99" w:rsidRPr="000D1C99" w:rsidRDefault="000D1C99" w:rsidP="00752D1D">
            <w:pPr>
              <w:rPr>
                <w:rFonts w:ascii="Calibri" w:eastAsia="Calibri" w:hAnsi="Calibri" w:cs="Times New Roman"/>
                <w:sz w:val="20"/>
                <w:szCs w:val="20"/>
              </w:rPr>
            </w:pPr>
          </w:p>
          <w:p w14:paraId="41137483" w14:textId="77777777" w:rsidR="000D1C99" w:rsidRPr="000D1C99" w:rsidRDefault="000D1C99" w:rsidP="00752D1D">
            <w:pPr>
              <w:rPr>
                <w:sz w:val="20"/>
                <w:szCs w:val="20"/>
              </w:rPr>
            </w:pPr>
          </w:p>
          <w:p w14:paraId="42CA5C97" w14:textId="77777777" w:rsidR="000D1C99" w:rsidRPr="000D1C99" w:rsidRDefault="000D1C99" w:rsidP="00752D1D">
            <w:pPr>
              <w:rPr>
                <w:sz w:val="20"/>
                <w:szCs w:val="20"/>
              </w:rPr>
            </w:pPr>
            <w:r w:rsidRPr="000D1C99">
              <w:rPr>
                <w:sz w:val="20"/>
                <w:szCs w:val="20"/>
              </w:rPr>
              <w:t>Ablauf- und Arbeitsplan</w:t>
            </w:r>
          </w:p>
          <w:p w14:paraId="32B293E8" w14:textId="77777777" w:rsidR="000D1C99" w:rsidRDefault="000D1C99" w:rsidP="00752D1D">
            <w:pPr>
              <w:rPr>
                <w:sz w:val="20"/>
                <w:szCs w:val="20"/>
              </w:rPr>
            </w:pPr>
          </w:p>
          <w:p w14:paraId="726D0A13" w14:textId="25310903" w:rsidR="000D1C99" w:rsidRPr="000D1C99" w:rsidRDefault="000D1C99" w:rsidP="00752D1D">
            <w:pPr>
              <w:rPr>
                <w:sz w:val="20"/>
                <w:szCs w:val="20"/>
              </w:rPr>
            </w:pPr>
            <w:r>
              <w:rPr>
                <w:sz w:val="20"/>
                <w:szCs w:val="20"/>
              </w:rPr>
              <w:t>Qualitätskriterienkatalog</w:t>
            </w:r>
          </w:p>
        </w:tc>
      </w:tr>
      <w:tr w:rsidR="000D1C99" w:rsidRPr="008A5E5F" w14:paraId="2479CB42" w14:textId="77777777" w:rsidTr="000D1C99">
        <w:trPr>
          <w:trHeight w:val="2990"/>
        </w:trPr>
        <w:tc>
          <w:tcPr>
            <w:tcW w:w="1941" w:type="dxa"/>
            <w:vMerge/>
          </w:tcPr>
          <w:p w14:paraId="5D8FEEDA" w14:textId="77777777" w:rsidR="000D1C99" w:rsidRPr="00CA0B57" w:rsidRDefault="000D1C99" w:rsidP="008A5E5F">
            <w:pPr>
              <w:rPr>
                <w:b/>
                <w:sz w:val="20"/>
                <w:szCs w:val="20"/>
              </w:rPr>
            </w:pPr>
          </w:p>
        </w:tc>
        <w:tc>
          <w:tcPr>
            <w:tcW w:w="2547" w:type="dxa"/>
            <w:vMerge/>
          </w:tcPr>
          <w:p w14:paraId="75CB12DC" w14:textId="77777777" w:rsidR="000D1C99" w:rsidRPr="000D1C99" w:rsidRDefault="000D1C99" w:rsidP="00CA0B57">
            <w:pPr>
              <w:rPr>
                <w:sz w:val="20"/>
                <w:szCs w:val="20"/>
              </w:rPr>
            </w:pPr>
          </w:p>
        </w:tc>
        <w:tc>
          <w:tcPr>
            <w:tcW w:w="2401" w:type="dxa"/>
            <w:vMerge/>
          </w:tcPr>
          <w:p w14:paraId="0A9F70D2" w14:textId="77777777" w:rsidR="000D1C99" w:rsidRPr="000D1C99" w:rsidRDefault="000D1C99" w:rsidP="008A5E5F">
            <w:pPr>
              <w:rPr>
                <w:sz w:val="20"/>
                <w:szCs w:val="20"/>
              </w:rPr>
            </w:pPr>
          </w:p>
        </w:tc>
        <w:tc>
          <w:tcPr>
            <w:tcW w:w="3035" w:type="dxa"/>
          </w:tcPr>
          <w:p w14:paraId="7FEFA589" w14:textId="61C8C6D8" w:rsidR="00A13C43" w:rsidRPr="008644D6" w:rsidRDefault="00A13C43" w:rsidP="00FD64BA">
            <w:pPr>
              <w:rPr>
                <w:rFonts w:ascii="Calibri" w:eastAsia="Calibri" w:hAnsi="Calibri" w:cs="Times New Roman"/>
                <w:color w:val="5B9BD5" w:themeColor="accent1"/>
                <w:sz w:val="20"/>
                <w:szCs w:val="20"/>
                <w:u w:val="single"/>
              </w:rPr>
            </w:pPr>
            <w:r w:rsidRPr="008644D6">
              <w:rPr>
                <w:rFonts w:ascii="Calibri" w:eastAsia="Calibri" w:hAnsi="Calibri" w:cs="Times New Roman"/>
                <w:color w:val="5B9BD5" w:themeColor="accent1"/>
                <w:sz w:val="20"/>
                <w:szCs w:val="20"/>
              </w:rPr>
              <w:t xml:space="preserve">Programm zur Erstellung einer </w:t>
            </w:r>
            <w:proofErr w:type="spellStart"/>
            <w:r w:rsidRPr="008644D6">
              <w:rPr>
                <w:rFonts w:ascii="Calibri" w:eastAsia="Calibri" w:hAnsi="Calibri" w:cs="Times New Roman"/>
                <w:color w:val="5B9BD5" w:themeColor="accent1"/>
                <w:sz w:val="20"/>
                <w:szCs w:val="20"/>
              </w:rPr>
              <w:t>kollaborativen</w:t>
            </w:r>
            <w:proofErr w:type="spellEnd"/>
            <w:r w:rsidRPr="008644D6">
              <w:rPr>
                <w:rFonts w:ascii="Calibri" w:eastAsia="Calibri" w:hAnsi="Calibri" w:cs="Times New Roman"/>
                <w:color w:val="5B9BD5" w:themeColor="accent1"/>
                <w:sz w:val="20"/>
                <w:szCs w:val="20"/>
              </w:rPr>
              <w:t xml:space="preserve"> Pinnwand</w:t>
            </w:r>
          </w:p>
          <w:p w14:paraId="18EA5CF0" w14:textId="77777777" w:rsidR="00A13C43" w:rsidRPr="008644D6" w:rsidRDefault="00A13C43" w:rsidP="00752D1D">
            <w:pPr>
              <w:rPr>
                <w:rFonts w:ascii="Calibri" w:eastAsia="Calibri" w:hAnsi="Calibri" w:cs="Times New Roman"/>
                <w:color w:val="5B9BD5" w:themeColor="accent1"/>
                <w:sz w:val="20"/>
                <w:szCs w:val="20"/>
              </w:rPr>
            </w:pPr>
          </w:p>
          <w:p w14:paraId="4FE3558A" w14:textId="77777777" w:rsidR="00A13C43" w:rsidRPr="008644D6" w:rsidRDefault="00A13C43" w:rsidP="00752D1D">
            <w:pPr>
              <w:rPr>
                <w:rFonts w:ascii="Calibri" w:eastAsia="Calibri" w:hAnsi="Calibri" w:cs="Times New Roman"/>
                <w:color w:val="5B9BD5" w:themeColor="accent1"/>
                <w:sz w:val="20"/>
                <w:szCs w:val="20"/>
              </w:rPr>
            </w:pPr>
          </w:p>
          <w:p w14:paraId="6A278FF2" w14:textId="77777777" w:rsidR="00A13C43" w:rsidRPr="008644D6" w:rsidRDefault="00A13C43" w:rsidP="00752D1D">
            <w:pPr>
              <w:rPr>
                <w:rFonts w:ascii="Calibri" w:eastAsia="Calibri" w:hAnsi="Calibri" w:cs="Times New Roman"/>
                <w:color w:val="5B9BD5" w:themeColor="accent1"/>
                <w:sz w:val="20"/>
                <w:szCs w:val="20"/>
              </w:rPr>
            </w:pPr>
          </w:p>
          <w:p w14:paraId="4CC12354" w14:textId="5F556599" w:rsidR="00A13C43" w:rsidRPr="008644D6" w:rsidRDefault="00A13C43" w:rsidP="00752D1D">
            <w:pPr>
              <w:rPr>
                <w:rFonts w:ascii="Calibri" w:eastAsia="Calibri" w:hAnsi="Calibri" w:cs="Times New Roman"/>
                <w:color w:val="5B9BD5" w:themeColor="accent1"/>
                <w:sz w:val="20"/>
                <w:szCs w:val="20"/>
              </w:rPr>
            </w:pPr>
            <w:r w:rsidRPr="008644D6">
              <w:rPr>
                <w:rFonts w:ascii="Calibri" w:eastAsia="Calibri" w:hAnsi="Calibri" w:cs="Times New Roman"/>
                <w:color w:val="5B9BD5" w:themeColor="accent1"/>
                <w:sz w:val="20"/>
                <w:szCs w:val="20"/>
              </w:rPr>
              <w:t>Projektmanagement-Software</w:t>
            </w:r>
          </w:p>
          <w:p w14:paraId="323CD6AE" w14:textId="77777777" w:rsidR="00A13C43" w:rsidRPr="008644D6" w:rsidRDefault="00A13C43" w:rsidP="00752D1D">
            <w:pPr>
              <w:rPr>
                <w:rFonts w:ascii="Calibri" w:eastAsia="Calibri" w:hAnsi="Calibri" w:cs="Times New Roman"/>
                <w:color w:val="5B9BD5" w:themeColor="accent1"/>
                <w:sz w:val="20"/>
                <w:szCs w:val="20"/>
              </w:rPr>
            </w:pPr>
          </w:p>
          <w:p w14:paraId="5CA92D66" w14:textId="6B9CD55C" w:rsidR="00FD64BA" w:rsidRPr="008644D6" w:rsidRDefault="00A13C43" w:rsidP="00FD64BA">
            <w:pPr>
              <w:rPr>
                <w:rFonts w:ascii="Calibri" w:eastAsia="Calibri" w:hAnsi="Calibri" w:cs="Times New Roman"/>
                <w:color w:val="5B9BD5" w:themeColor="accent1"/>
                <w:sz w:val="20"/>
                <w:szCs w:val="20"/>
                <w:u w:val="single"/>
              </w:rPr>
            </w:pPr>
            <w:proofErr w:type="spellStart"/>
            <w:r w:rsidRPr="008644D6">
              <w:rPr>
                <w:rFonts w:ascii="Calibri" w:eastAsia="Calibri" w:hAnsi="Calibri" w:cs="Times New Roman"/>
                <w:color w:val="5B9BD5" w:themeColor="accent1"/>
                <w:sz w:val="20"/>
                <w:szCs w:val="20"/>
              </w:rPr>
              <w:t>Lerntool</w:t>
            </w:r>
            <w:proofErr w:type="spellEnd"/>
            <w:r w:rsidRPr="008644D6">
              <w:rPr>
                <w:rFonts w:ascii="Calibri" w:eastAsia="Calibri" w:hAnsi="Calibri" w:cs="Times New Roman"/>
                <w:color w:val="5B9BD5" w:themeColor="accent1"/>
                <w:sz w:val="20"/>
                <w:szCs w:val="20"/>
              </w:rPr>
              <w:t xml:space="preserve"> zur Kartenabfrage und zum Feedback</w:t>
            </w:r>
          </w:p>
          <w:p w14:paraId="21B7D52C" w14:textId="6E813870" w:rsidR="000D1C99" w:rsidRPr="00A13C43" w:rsidRDefault="000D1C99" w:rsidP="00752D1D">
            <w:pPr>
              <w:rPr>
                <w:rFonts w:ascii="Calibri" w:eastAsia="Calibri" w:hAnsi="Calibri" w:cs="Times New Roman"/>
                <w:sz w:val="20"/>
                <w:szCs w:val="20"/>
                <w:u w:val="single"/>
              </w:rPr>
            </w:pPr>
          </w:p>
        </w:tc>
      </w:tr>
    </w:tbl>
    <w:p w14:paraId="3641E18B" w14:textId="77777777" w:rsidR="00DF0373" w:rsidRDefault="00DF0373">
      <w:r>
        <w:br w:type="page"/>
      </w:r>
    </w:p>
    <w:tbl>
      <w:tblPr>
        <w:tblStyle w:val="Tabellenraster"/>
        <w:tblW w:w="9924" w:type="dxa"/>
        <w:tblInd w:w="-431" w:type="dxa"/>
        <w:tblLook w:val="04A0" w:firstRow="1" w:lastRow="0" w:firstColumn="1" w:lastColumn="0" w:noHBand="0" w:noVBand="1"/>
      </w:tblPr>
      <w:tblGrid>
        <w:gridCol w:w="2265"/>
        <w:gridCol w:w="2502"/>
        <w:gridCol w:w="2322"/>
        <w:gridCol w:w="2835"/>
      </w:tblGrid>
      <w:tr w:rsidR="0076744C" w:rsidRPr="008A5E5F" w14:paraId="7C64C199" w14:textId="77777777" w:rsidTr="009D50DA">
        <w:trPr>
          <w:trHeight w:val="680"/>
          <w:tblHeader/>
        </w:trPr>
        <w:tc>
          <w:tcPr>
            <w:tcW w:w="2265" w:type="dxa"/>
            <w:vMerge w:val="restart"/>
            <w:shd w:val="clear" w:color="auto" w:fill="BFBFBF" w:themeFill="background1" w:themeFillShade="BF"/>
          </w:tcPr>
          <w:p w14:paraId="12FD9F8A" w14:textId="77777777" w:rsidR="00DF0373" w:rsidRPr="008A5E5F" w:rsidRDefault="00DF0373" w:rsidP="00763530">
            <w:pPr>
              <w:rPr>
                <w:b/>
              </w:rPr>
            </w:pPr>
            <w:r w:rsidRPr="008A5E5F">
              <w:rPr>
                <w:b/>
              </w:rPr>
              <w:lastRenderedPageBreak/>
              <w:t>Handlungsphasen</w:t>
            </w:r>
          </w:p>
          <w:p w14:paraId="26DE3013" w14:textId="77777777" w:rsidR="00DF0373" w:rsidRPr="008A5E5F" w:rsidRDefault="00DF0373" w:rsidP="00763530">
            <w:pPr>
              <w:rPr>
                <w:b/>
              </w:rPr>
            </w:pPr>
            <w:r w:rsidRPr="008A5E5F">
              <w:rPr>
                <w:b/>
              </w:rPr>
              <w:t xml:space="preserve">(laut </w:t>
            </w:r>
            <w:proofErr w:type="spellStart"/>
            <w:r w:rsidRPr="008A5E5F">
              <w:rPr>
                <w:b/>
              </w:rPr>
              <w:t>SchuCu</w:t>
            </w:r>
            <w:proofErr w:type="spellEnd"/>
            <w:r w:rsidRPr="008A5E5F">
              <w:rPr>
                <w:b/>
              </w:rPr>
              <w:t>-BBS, Glossar)</w:t>
            </w:r>
          </w:p>
        </w:tc>
        <w:tc>
          <w:tcPr>
            <w:tcW w:w="4824" w:type="dxa"/>
            <w:gridSpan w:val="2"/>
            <w:tcBorders>
              <w:bottom w:val="single" w:sz="4" w:space="0" w:color="auto"/>
            </w:tcBorders>
            <w:shd w:val="clear" w:color="auto" w:fill="BFBFBF" w:themeFill="background1" w:themeFillShade="BF"/>
          </w:tcPr>
          <w:p w14:paraId="1FBFC0A2" w14:textId="77777777" w:rsidR="00DF0373" w:rsidRPr="008A5E5F" w:rsidRDefault="00DF0373" w:rsidP="00763530">
            <w:pPr>
              <w:rPr>
                <w:b/>
              </w:rPr>
            </w:pPr>
            <w:r w:rsidRPr="008A5E5F">
              <w:rPr>
                <w:b/>
              </w:rPr>
              <w:t>Angestrebte Kompetenzen</w:t>
            </w:r>
          </w:p>
        </w:tc>
        <w:tc>
          <w:tcPr>
            <w:tcW w:w="2835" w:type="dxa"/>
            <w:shd w:val="clear" w:color="auto" w:fill="BFBFBF" w:themeFill="background1" w:themeFillShade="BF"/>
          </w:tcPr>
          <w:p w14:paraId="340BAD84" w14:textId="77777777" w:rsidR="00DF0373" w:rsidRPr="008A5E5F" w:rsidRDefault="00DF0373" w:rsidP="00763530">
            <w:pPr>
              <w:rPr>
                <w:b/>
              </w:rPr>
            </w:pPr>
            <w:r w:rsidRPr="008A5E5F">
              <w:rPr>
                <w:b/>
              </w:rPr>
              <w:t>Unterrichtsmethoden,</w:t>
            </w:r>
          </w:p>
          <w:p w14:paraId="3F0C661D" w14:textId="77777777" w:rsidR="00DF0373" w:rsidRPr="008A5E5F" w:rsidRDefault="00DF0373" w:rsidP="00763530">
            <w:pPr>
              <w:rPr>
                <w:b/>
              </w:rPr>
            </w:pPr>
            <w:r w:rsidRPr="008A5E5F">
              <w:rPr>
                <w:b/>
              </w:rPr>
              <w:t>Medien/Materialien/</w:t>
            </w:r>
          </w:p>
          <w:p w14:paraId="3DD3AB70" w14:textId="355AF41C" w:rsidR="00DF0373" w:rsidRPr="008A5E5F" w:rsidRDefault="00DF0373" w:rsidP="009D50DA">
            <w:pPr>
              <w:rPr>
                <w:b/>
              </w:rPr>
            </w:pPr>
            <w:r w:rsidRPr="008A5E5F">
              <w:rPr>
                <w:b/>
              </w:rPr>
              <w:t xml:space="preserve">Hinweise zum </w:t>
            </w:r>
            <w:r w:rsidR="009D50DA">
              <w:rPr>
                <w:b/>
              </w:rPr>
              <w:t xml:space="preserve">Präsenz- und </w:t>
            </w:r>
            <w:r w:rsidRPr="008644D6">
              <w:rPr>
                <w:b/>
                <w:color w:val="5B9BD5" w:themeColor="accent1"/>
              </w:rPr>
              <w:t>Distanzunterricht</w:t>
            </w:r>
          </w:p>
        </w:tc>
      </w:tr>
      <w:tr w:rsidR="00C543B8" w:rsidRPr="008A5E5F" w14:paraId="2136D619" w14:textId="77777777" w:rsidTr="009D50DA">
        <w:trPr>
          <w:trHeight w:val="626"/>
          <w:tblHeader/>
        </w:trPr>
        <w:tc>
          <w:tcPr>
            <w:tcW w:w="2265" w:type="dxa"/>
            <w:vMerge/>
          </w:tcPr>
          <w:p w14:paraId="40640996" w14:textId="77777777" w:rsidR="00DF0373" w:rsidRPr="008A5E5F" w:rsidRDefault="00DF0373" w:rsidP="00763530"/>
        </w:tc>
        <w:tc>
          <w:tcPr>
            <w:tcW w:w="2502" w:type="dxa"/>
            <w:shd w:val="clear" w:color="auto" w:fill="BFBFBF" w:themeFill="background1" w:themeFillShade="BF"/>
            <w:vAlign w:val="center"/>
          </w:tcPr>
          <w:p w14:paraId="58D094D6" w14:textId="3C8AFC75" w:rsidR="00DF0373" w:rsidRPr="008A5E5F" w:rsidRDefault="00DF0373" w:rsidP="00763530">
            <w:r w:rsidRPr="008A5E5F">
              <w:t>Fach</w:t>
            </w:r>
            <w:r w:rsidR="00372148">
              <w:t>-</w:t>
            </w:r>
            <w:r w:rsidR="00B77DDC">
              <w:br/>
            </w:r>
            <w:proofErr w:type="spellStart"/>
            <w:r w:rsidRPr="008A5E5F">
              <w:t>kompetenzen</w:t>
            </w:r>
            <w:proofErr w:type="spellEnd"/>
          </w:p>
        </w:tc>
        <w:tc>
          <w:tcPr>
            <w:tcW w:w="2322" w:type="dxa"/>
            <w:shd w:val="clear" w:color="auto" w:fill="BFBFBF" w:themeFill="background1" w:themeFillShade="BF"/>
            <w:vAlign w:val="center"/>
          </w:tcPr>
          <w:p w14:paraId="54EAAB4F" w14:textId="21D19AA2" w:rsidR="00DF0373" w:rsidRPr="008A5E5F" w:rsidRDefault="00DF0373" w:rsidP="00763530">
            <w:r w:rsidRPr="008A5E5F">
              <w:t>Personale Kompetenzen</w:t>
            </w:r>
            <w:r w:rsidR="00CE09B0">
              <w:t xml:space="preserve"> </w:t>
            </w:r>
            <w:r w:rsidR="00CE09B0" w:rsidRPr="00CE09B0">
              <w:rPr>
                <w:sz w:val="18"/>
                <w:szCs w:val="18"/>
              </w:rPr>
              <w:t>(mit L+A)</w:t>
            </w:r>
          </w:p>
        </w:tc>
        <w:tc>
          <w:tcPr>
            <w:tcW w:w="2835" w:type="dxa"/>
          </w:tcPr>
          <w:p w14:paraId="49BAE02C" w14:textId="77777777" w:rsidR="00DF0373" w:rsidRPr="008A5E5F" w:rsidRDefault="00DF0373" w:rsidP="00763530"/>
        </w:tc>
      </w:tr>
      <w:tr w:rsidR="008F4833" w:rsidRPr="008A5E5F" w14:paraId="323174FE" w14:textId="77777777" w:rsidTr="009D50DA">
        <w:trPr>
          <w:trHeight w:val="418"/>
        </w:trPr>
        <w:tc>
          <w:tcPr>
            <w:tcW w:w="2265" w:type="dxa"/>
          </w:tcPr>
          <w:p w14:paraId="4FC035F4" w14:textId="77777777" w:rsidR="00DF0373" w:rsidRPr="008A5E5F" w:rsidRDefault="00DF0373" w:rsidP="00763530"/>
        </w:tc>
        <w:tc>
          <w:tcPr>
            <w:tcW w:w="4824" w:type="dxa"/>
            <w:gridSpan w:val="2"/>
            <w:vAlign w:val="center"/>
          </w:tcPr>
          <w:p w14:paraId="1BE2A650" w14:textId="51464B34" w:rsidR="00DF0373" w:rsidRPr="008A5E5F" w:rsidRDefault="00DF0373" w:rsidP="00763530">
            <w:r w:rsidRPr="008A5E5F">
              <w:t>Die Schülerinnen und Schüler …</w:t>
            </w:r>
          </w:p>
        </w:tc>
        <w:tc>
          <w:tcPr>
            <w:tcW w:w="2835" w:type="dxa"/>
            <w:tcBorders>
              <w:bottom w:val="single" w:sz="4" w:space="0" w:color="auto"/>
            </w:tcBorders>
          </w:tcPr>
          <w:p w14:paraId="61130847" w14:textId="4BE24743" w:rsidR="00DF0373" w:rsidRPr="008A5E5F" w:rsidRDefault="00A52B3B" w:rsidP="00763530">
            <w:r w:rsidRPr="008644D6">
              <w:rPr>
                <w:color w:val="5B9BD5" w:themeColor="accent1"/>
                <w:sz w:val="20"/>
                <w:szCs w:val="20"/>
              </w:rPr>
              <w:t xml:space="preserve">Durchgängige Nutzung </w:t>
            </w:r>
            <w:r w:rsidR="003574A8" w:rsidRPr="008644D6">
              <w:rPr>
                <w:color w:val="5B9BD5" w:themeColor="accent1"/>
                <w:sz w:val="20"/>
                <w:szCs w:val="20"/>
              </w:rPr>
              <w:t xml:space="preserve">von </w:t>
            </w:r>
            <w:r w:rsidRPr="008644D6">
              <w:rPr>
                <w:color w:val="5B9BD5" w:themeColor="accent1"/>
                <w:sz w:val="20"/>
                <w:szCs w:val="20"/>
              </w:rPr>
              <w:t>Videokonferenz</w:t>
            </w:r>
            <w:r w:rsidR="008644D6">
              <w:rPr>
                <w:color w:val="5B9BD5" w:themeColor="accent1"/>
                <w:sz w:val="20"/>
                <w:szCs w:val="20"/>
              </w:rPr>
              <w:t>systemen</w:t>
            </w:r>
          </w:p>
        </w:tc>
      </w:tr>
      <w:tr w:rsidR="00A13C43" w:rsidRPr="008A5E5F" w14:paraId="2D73ED2E" w14:textId="77777777" w:rsidTr="00B93980">
        <w:trPr>
          <w:trHeight w:val="2066"/>
        </w:trPr>
        <w:tc>
          <w:tcPr>
            <w:tcW w:w="2265" w:type="dxa"/>
            <w:vMerge w:val="restart"/>
          </w:tcPr>
          <w:p w14:paraId="2E620F03" w14:textId="77777777" w:rsidR="00A13C43" w:rsidRPr="008A5E5F" w:rsidRDefault="00A13C43" w:rsidP="008A5E5F">
            <w:pPr>
              <w:rPr>
                <w:b/>
                <w:u w:val="single"/>
              </w:rPr>
            </w:pPr>
            <w:r w:rsidRPr="00330322">
              <w:rPr>
                <w:b/>
              </w:rPr>
              <w:t>Durchführen</w:t>
            </w:r>
          </w:p>
          <w:p w14:paraId="02E6BEA9" w14:textId="77777777" w:rsidR="00A13C43" w:rsidRPr="008A5E5F" w:rsidRDefault="00A13C43" w:rsidP="008A5E5F">
            <w:pPr>
              <w:rPr>
                <w:i/>
              </w:rPr>
            </w:pPr>
            <w:r w:rsidRPr="00330322">
              <w:rPr>
                <w:i/>
                <w:sz w:val="18"/>
                <w:szCs w:val="18"/>
              </w:rPr>
              <w:t>Die Schülerinnen und Schüler bearbeiten die komplexe Aufgaben-, Frage- bzw. Problemstellung entsprechend der Planungsentscheidungen. Sie beschaffen ggf. weitere Informationen und verarbeiten die vorhandenen Informationen, um das Handlungsergebnis zu erreichen und gegebenenfalls zu präsentieren.</w:t>
            </w:r>
          </w:p>
        </w:tc>
        <w:tc>
          <w:tcPr>
            <w:tcW w:w="2502" w:type="dxa"/>
            <w:vMerge w:val="restart"/>
          </w:tcPr>
          <w:p w14:paraId="6831B20E" w14:textId="77777777" w:rsidR="00A13C43" w:rsidRDefault="00A13C43" w:rsidP="0090766F">
            <w:pPr>
              <w:ind w:left="171" w:hanging="171"/>
              <w:rPr>
                <w:sz w:val="20"/>
                <w:szCs w:val="20"/>
              </w:rPr>
            </w:pPr>
          </w:p>
          <w:p w14:paraId="1DABA036" w14:textId="4F0924B3" w:rsidR="00A13C43" w:rsidRPr="00D14A1D" w:rsidRDefault="00A13C43" w:rsidP="0090766F">
            <w:pPr>
              <w:ind w:left="171" w:hanging="171"/>
              <w:rPr>
                <w:rFonts w:ascii="Calibri" w:eastAsia="Calibri" w:hAnsi="Calibri" w:cs="Times New Roman"/>
                <w:sz w:val="20"/>
                <w:szCs w:val="20"/>
              </w:rPr>
            </w:pPr>
            <w:r w:rsidRPr="00D14A1D">
              <w:rPr>
                <w:sz w:val="20"/>
                <w:szCs w:val="20"/>
              </w:rPr>
              <w:t>…</w:t>
            </w:r>
            <w:r w:rsidRPr="00D14A1D">
              <w:rPr>
                <w:rFonts w:eastAsia="FranklinGotCdITC-Book" w:cs="FranklinGotCdITC-Book"/>
                <w:b/>
              </w:rPr>
              <w:tab/>
            </w:r>
            <w:r w:rsidRPr="00D14A1D">
              <w:rPr>
                <w:rFonts w:ascii="Calibri" w:eastAsia="Calibri" w:hAnsi="Calibri" w:cs="Times New Roman"/>
                <w:sz w:val="20"/>
                <w:szCs w:val="20"/>
              </w:rPr>
              <w:t xml:space="preserve">werten ernährungsbezogene Daten von </w:t>
            </w:r>
            <w:r>
              <w:rPr>
                <w:rFonts w:ascii="Calibri" w:eastAsia="Calibri" w:hAnsi="Calibri" w:cs="Times New Roman"/>
                <w:sz w:val="20"/>
                <w:szCs w:val="20"/>
              </w:rPr>
              <w:t>Jugendlichen</w:t>
            </w:r>
            <w:r w:rsidRPr="00D14A1D">
              <w:rPr>
                <w:rFonts w:ascii="Calibri" w:eastAsia="Calibri" w:hAnsi="Calibri" w:cs="Times New Roman"/>
                <w:sz w:val="20"/>
                <w:szCs w:val="20"/>
              </w:rPr>
              <w:t xml:space="preserve"> </w:t>
            </w:r>
            <w:r w:rsidR="00CC3026">
              <w:rPr>
                <w:rFonts w:ascii="Calibri" w:eastAsia="Calibri" w:hAnsi="Calibri" w:cs="Times New Roman"/>
                <w:sz w:val="20"/>
                <w:szCs w:val="20"/>
              </w:rPr>
              <w:t xml:space="preserve">(z. B. Tageskostpläne) </w:t>
            </w:r>
            <w:r w:rsidRPr="00D14A1D">
              <w:rPr>
                <w:rFonts w:ascii="Calibri" w:eastAsia="Calibri" w:hAnsi="Calibri" w:cs="Times New Roman"/>
                <w:sz w:val="20"/>
                <w:szCs w:val="20"/>
              </w:rPr>
              <w:t>aus.</w:t>
            </w:r>
          </w:p>
          <w:p w14:paraId="5C2DF43C" w14:textId="5D629F98" w:rsidR="00A13C43" w:rsidRDefault="00A13C43" w:rsidP="0090766F">
            <w:pPr>
              <w:ind w:left="171" w:hanging="171"/>
              <w:rPr>
                <w:sz w:val="20"/>
                <w:szCs w:val="20"/>
              </w:rPr>
            </w:pPr>
            <w:r w:rsidRPr="00D14A1D">
              <w:rPr>
                <w:sz w:val="20"/>
                <w:szCs w:val="20"/>
              </w:rPr>
              <w:t>…</w:t>
            </w:r>
            <w:r w:rsidRPr="00D14A1D">
              <w:rPr>
                <w:rFonts w:eastAsia="FranklinGotCdITC-Book" w:cs="FranklinGotCdITC-Book"/>
                <w:b/>
              </w:rPr>
              <w:tab/>
            </w:r>
            <w:r w:rsidRPr="00D14A1D">
              <w:rPr>
                <w:sz w:val="20"/>
                <w:szCs w:val="20"/>
              </w:rPr>
              <w:t xml:space="preserve">entwickeln und begründen für </w:t>
            </w:r>
            <w:r>
              <w:rPr>
                <w:sz w:val="20"/>
                <w:szCs w:val="20"/>
              </w:rPr>
              <w:t>Jugendliche</w:t>
            </w:r>
            <w:r w:rsidRPr="00D14A1D">
              <w:rPr>
                <w:sz w:val="20"/>
                <w:szCs w:val="20"/>
              </w:rPr>
              <w:t xml:space="preserve"> mehrere Ernährungs- und Verhaltensempfehlungen.</w:t>
            </w:r>
          </w:p>
          <w:p w14:paraId="2B91718C" w14:textId="44354C64" w:rsidR="00A13C43" w:rsidRDefault="00A13C43" w:rsidP="0090766F">
            <w:pPr>
              <w:ind w:left="171" w:hanging="171"/>
              <w:rPr>
                <w:sz w:val="20"/>
                <w:szCs w:val="20"/>
              </w:rPr>
            </w:pPr>
            <w:r w:rsidRPr="00D14A1D">
              <w:rPr>
                <w:sz w:val="20"/>
                <w:szCs w:val="20"/>
              </w:rPr>
              <w:t>…</w:t>
            </w:r>
            <w:r w:rsidRPr="00D14A1D">
              <w:rPr>
                <w:rFonts w:eastAsia="FranklinGotCdITC-Book" w:cs="FranklinGotCdITC-Book"/>
                <w:sz w:val="20"/>
                <w:szCs w:val="20"/>
              </w:rPr>
              <w:tab/>
              <w:t xml:space="preserve">entwickeln </w:t>
            </w:r>
            <w:r w:rsidRPr="00D14A1D">
              <w:rPr>
                <w:sz w:val="20"/>
                <w:szCs w:val="20"/>
              </w:rPr>
              <w:t xml:space="preserve">Qualitätskriterien für die Bewertung </w:t>
            </w:r>
            <w:r w:rsidRPr="00D14A1D">
              <w:rPr>
                <w:rFonts w:ascii="Calibri" w:eastAsia="Calibri" w:hAnsi="Calibri" w:cs="Times New Roman"/>
                <w:sz w:val="20"/>
                <w:szCs w:val="20"/>
              </w:rPr>
              <w:t xml:space="preserve">der </w:t>
            </w:r>
            <w:r>
              <w:rPr>
                <w:rFonts w:ascii="Calibri" w:eastAsia="Calibri" w:hAnsi="Calibri" w:cs="Times New Roman"/>
                <w:sz w:val="20"/>
                <w:szCs w:val="20"/>
              </w:rPr>
              <w:t>Handlungsempfehlung</w:t>
            </w:r>
            <w:r w:rsidRPr="00D14A1D">
              <w:rPr>
                <w:rFonts w:ascii="Calibri" w:eastAsia="Calibri" w:hAnsi="Calibri" w:cs="Times New Roman"/>
                <w:sz w:val="20"/>
                <w:szCs w:val="20"/>
              </w:rPr>
              <w:t>.</w:t>
            </w:r>
          </w:p>
          <w:p w14:paraId="3CED68CE" w14:textId="4459D209" w:rsidR="00A13C43" w:rsidRPr="00D14A1D" w:rsidRDefault="00A13C43" w:rsidP="0090766F">
            <w:pPr>
              <w:ind w:left="171" w:hanging="171"/>
              <w:rPr>
                <w:sz w:val="20"/>
                <w:szCs w:val="20"/>
              </w:rPr>
            </w:pPr>
            <w:r w:rsidRPr="00D14A1D">
              <w:rPr>
                <w:sz w:val="20"/>
                <w:szCs w:val="20"/>
              </w:rPr>
              <w:t>…</w:t>
            </w:r>
            <w:r w:rsidRPr="00D14A1D">
              <w:rPr>
                <w:rFonts w:eastAsia="FranklinGotCdITC-Book" w:cs="FranklinGotCdITC-Book"/>
                <w:sz w:val="20"/>
                <w:szCs w:val="20"/>
              </w:rPr>
              <w:tab/>
            </w:r>
            <w:r>
              <w:rPr>
                <w:sz w:val="20"/>
                <w:szCs w:val="20"/>
              </w:rPr>
              <w:t>entwickeln</w:t>
            </w:r>
            <w:r w:rsidRPr="00D14A1D">
              <w:rPr>
                <w:sz w:val="20"/>
                <w:szCs w:val="20"/>
              </w:rPr>
              <w:t xml:space="preserve"> eine</w:t>
            </w:r>
            <w:r>
              <w:rPr>
                <w:sz w:val="20"/>
                <w:szCs w:val="20"/>
              </w:rPr>
              <w:t xml:space="preserve"> </w:t>
            </w:r>
            <w:r w:rsidR="006734B6" w:rsidRPr="006734B6">
              <w:rPr>
                <w:color w:val="5B9BD5" w:themeColor="accent1"/>
                <w:sz w:val="20"/>
                <w:szCs w:val="20"/>
              </w:rPr>
              <w:t>(</w:t>
            </w:r>
            <w:r w:rsidRPr="006734B6">
              <w:rPr>
                <w:color w:val="5B9BD5" w:themeColor="accent1"/>
                <w:sz w:val="20"/>
                <w:szCs w:val="20"/>
              </w:rPr>
              <w:t>digitale</w:t>
            </w:r>
            <w:r w:rsidR="006734B6" w:rsidRPr="006734B6">
              <w:rPr>
                <w:color w:val="5B9BD5" w:themeColor="accent1"/>
                <w:sz w:val="20"/>
                <w:szCs w:val="20"/>
              </w:rPr>
              <w:t>)</w:t>
            </w:r>
            <w:r>
              <w:rPr>
                <w:sz w:val="20"/>
                <w:szCs w:val="20"/>
              </w:rPr>
              <w:t xml:space="preserve"> Handlungsempfehlung</w:t>
            </w:r>
            <w:r w:rsidRPr="00D14A1D">
              <w:rPr>
                <w:sz w:val="20"/>
                <w:szCs w:val="20"/>
              </w:rPr>
              <w:t xml:space="preserve"> und erstellen ein Inhaltsverzeichnis.</w:t>
            </w:r>
          </w:p>
          <w:p w14:paraId="692D0154" w14:textId="6E5BA82E" w:rsidR="00A13C43" w:rsidRPr="008A5E5F" w:rsidRDefault="00A13C43" w:rsidP="00B93980">
            <w:pPr>
              <w:ind w:left="171" w:hanging="171"/>
            </w:pPr>
            <w:r w:rsidRPr="00D14A1D">
              <w:rPr>
                <w:sz w:val="20"/>
                <w:szCs w:val="20"/>
              </w:rPr>
              <w:t>…</w:t>
            </w:r>
            <w:r w:rsidRPr="00D14A1D">
              <w:rPr>
                <w:rFonts w:eastAsia="FranklinGotCdITC-Book" w:cs="FranklinGotCdITC-Book"/>
                <w:sz w:val="20"/>
                <w:szCs w:val="20"/>
              </w:rPr>
              <w:tab/>
              <w:t xml:space="preserve">entwickeln </w:t>
            </w:r>
            <w:r w:rsidRPr="00D14A1D">
              <w:rPr>
                <w:sz w:val="20"/>
                <w:szCs w:val="20"/>
              </w:rPr>
              <w:t>eine fachlich richtige, vollständige</w:t>
            </w:r>
            <w:r w:rsidRPr="00D14A1D">
              <w:rPr>
                <w:rFonts w:ascii="Calibri" w:eastAsia="Calibri" w:hAnsi="Calibri" w:cs="Times New Roman"/>
                <w:sz w:val="20"/>
                <w:szCs w:val="20"/>
              </w:rPr>
              <w:t xml:space="preserve"> </w:t>
            </w:r>
            <w:r>
              <w:rPr>
                <w:rFonts w:ascii="Calibri" w:eastAsia="Calibri" w:hAnsi="Calibri" w:cs="Times New Roman"/>
                <w:sz w:val="20"/>
                <w:szCs w:val="20"/>
              </w:rPr>
              <w:t>Handlungsempfehlung</w:t>
            </w:r>
            <w:r w:rsidRPr="00D14A1D">
              <w:rPr>
                <w:rFonts w:ascii="Calibri" w:eastAsia="Calibri" w:hAnsi="Calibri" w:cs="Times New Roman"/>
                <w:sz w:val="20"/>
                <w:szCs w:val="20"/>
              </w:rPr>
              <w:t>.</w:t>
            </w:r>
          </w:p>
        </w:tc>
        <w:tc>
          <w:tcPr>
            <w:tcW w:w="2322" w:type="dxa"/>
            <w:vMerge w:val="restart"/>
          </w:tcPr>
          <w:p w14:paraId="49A6259F" w14:textId="51C5970F" w:rsidR="00A13C43" w:rsidRDefault="00A13C43" w:rsidP="008A5E5F"/>
          <w:p w14:paraId="6BE8780C" w14:textId="77777777" w:rsidR="00A13C43" w:rsidRDefault="00A13C43" w:rsidP="00BB3FCA">
            <w:pPr>
              <w:ind w:left="170" w:hanging="170"/>
              <w:rPr>
                <w:rFonts w:eastAsia="FranklinGotCdITC-Book" w:cs="FranklinGotCdITC-Book"/>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führen einen tabellarischen Soll-Ist-Vergleich durch.</w:t>
            </w:r>
          </w:p>
          <w:p w14:paraId="5052458A" w14:textId="291DB571" w:rsidR="00A13C43" w:rsidRDefault="00A13C43" w:rsidP="00BB3FCA">
            <w:pPr>
              <w:ind w:left="171" w:hanging="171"/>
              <w:rPr>
                <w:rFonts w:eastAsia="FranklinGotCdITC-Book" w:cs="FranklinGotCdITC-Book"/>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formulieren begründete Merksätze.</w:t>
            </w:r>
          </w:p>
          <w:p w14:paraId="509A3A69" w14:textId="77777777" w:rsidR="00A13C43" w:rsidRDefault="00A13C43" w:rsidP="008F4833">
            <w:pPr>
              <w:ind w:left="171" w:hanging="171"/>
              <w:rPr>
                <w:rFonts w:eastAsia="FranklinGotCdITC-Book" w:cs="FranklinGotCdITC-Book"/>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entwickeln eigene Lösungsansätze.</w:t>
            </w:r>
          </w:p>
          <w:p w14:paraId="47BFA1FD" w14:textId="77777777" w:rsidR="00A13C43" w:rsidRDefault="00A13C43" w:rsidP="008F4833">
            <w:pPr>
              <w:ind w:left="171" w:hanging="171"/>
              <w:rPr>
                <w:rFonts w:eastAsia="FranklinGotCdITC-Book" w:cs="FranklinGotCdITC-Book"/>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einigen sich auf Kriterien.</w:t>
            </w:r>
          </w:p>
          <w:p w14:paraId="0FDA61F8" w14:textId="1DB64A91" w:rsidR="00A13C43" w:rsidRDefault="00A13C43" w:rsidP="008F4833">
            <w:pPr>
              <w:ind w:left="171" w:hanging="171"/>
              <w:rPr>
                <w:rFonts w:eastAsia="FranklinGotCdITC-Book" w:cs="FranklinGotCdITC-Book"/>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verteilen Aufgaben und Rollen in der Gruppe.</w:t>
            </w:r>
          </w:p>
          <w:p w14:paraId="7C2F9BEF" w14:textId="7631A1EF" w:rsidR="00A13C43" w:rsidRDefault="00A13C43" w:rsidP="00BB3FCA">
            <w:pPr>
              <w:ind w:left="171" w:hanging="171"/>
              <w:rPr>
                <w:rFonts w:eastAsia="FranklinGotCdITC-Book" w:cs="FranklinGotCdITC-Book"/>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recherchieren im Internet nach vorgegeben</w:t>
            </w:r>
            <w:r w:rsidR="007E6696">
              <w:rPr>
                <w:rFonts w:eastAsia="FranklinGotCdITC-Book" w:cs="FranklinGotCdITC-Book"/>
                <w:sz w:val="20"/>
                <w:szCs w:val="20"/>
              </w:rPr>
              <w:t>en</w:t>
            </w:r>
            <w:r>
              <w:rPr>
                <w:rFonts w:eastAsia="FranklinGotCdITC-Book" w:cs="FranklinGotCdITC-Book"/>
                <w:sz w:val="20"/>
                <w:szCs w:val="20"/>
              </w:rPr>
              <w:t xml:space="preserve"> Quellen.</w:t>
            </w:r>
          </w:p>
          <w:p w14:paraId="497E2306" w14:textId="2AF81AD3" w:rsidR="00A13C43" w:rsidRDefault="00A13C43" w:rsidP="00BB3FCA">
            <w:pPr>
              <w:ind w:left="171" w:hanging="171"/>
              <w:rPr>
                <w:rFonts w:eastAsia="FranklinGotCdITC-Book" w:cs="FranklinGotCdITC-Book"/>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gestalten digitale Dokumente.</w:t>
            </w:r>
          </w:p>
          <w:p w14:paraId="7E98EC99" w14:textId="4D4FD323" w:rsidR="00A13C43" w:rsidRPr="008A5E5F" w:rsidRDefault="00A13C43" w:rsidP="00B93980">
            <w:pPr>
              <w:ind w:left="171" w:hanging="171"/>
            </w:pPr>
            <w:r>
              <w:rPr>
                <w:rFonts w:eastAsia="FranklinGotCdITC-Book" w:cs="FranklinGotCdITC-Book"/>
                <w:sz w:val="20"/>
                <w:szCs w:val="20"/>
              </w:rPr>
              <w:t>…</w:t>
            </w:r>
            <w:r w:rsidRPr="00D14A1D">
              <w:rPr>
                <w:rFonts w:eastAsia="FranklinGotCdITC-Book" w:cs="FranklinGotCdITC-Book"/>
                <w:sz w:val="20"/>
                <w:szCs w:val="20"/>
              </w:rPr>
              <w:t xml:space="preserve"> </w:t>
            </w:r>
            <w:r w:rsidRPr="00D14A1D">
              <w:rPr>
                <w:rFonts w:eastAsia="FranklinGotCdITC-Book" w:cs="FranklinGotCdITC-Book"/>
                <w:sz w:val="20"/>
                <w:szCs w:val="20"/>
              </w:rPr>
              <w:tab/>
            </w:r>
            <w:r>
              <w:rPr>
                <w:rFonts w:eastAsia="FranklinGotCdITC-Book" w:cs="FranklinGotCdITC-Book"/>
                <w:sz w:val="20"/>
                <w:szCs w:val="20"/>
              </w:rPr>
              <w:t>setzen Formen der Visualisierung ein.</w:t>
            </w:r>
          </w:p>
        </w:tc>
        <w:tc>
          <w:tcPr>
            <w:tcW w:w="2835" w:type="dxa"/>
          </w:tcPr>
          <w:p w14:paraId="524FE9DB" w14:textId="77777777" w:rsidR="00A13C43" w:rsidRDefault="00A13C43" w:rsidP="008A5E5F"/>
          <w:p w14:paraId="218DF111" w14:textId="023AB80E" w:rsidR="00A13C43" w:rsidRDefault="00A13C43" w:rsidP="00B65A71">
            <w:pPr>
              <w:rPr>
                <w:rFonts w:ascii="Calibri" w:eastAsia="Calibri" w:hAnsi="Calibri" w:cs="Times New Roman"/>
                <w:sz w:val="20"/>
                <w:szCs w:val="20"/>
              </w:rPr>
            </w:pPr>
            <w:r>
              <w:rPr>
                <w:rFonts w:ascii="Calibri" w:eastAsia="Calibri" w:hAnsi="Calibri" w:cs="Times New Roman"/>
                <w:sz w:val="20"/>
                <w:szCs w:val="20"/>
              </w:rPr>
              <w:t>Merksätze mit Ernährungs- und</w:t>
            </w:r>
            <w:r>
              <w:rPr>
                <w:rFonts w:ascii="Calibri" w:eastAsia="Calibri" w:hAnsi="Calibri" w:cs="Times New Roman"/>
                <w:sz w:val="20"/>
                <w:szCs w:val="20"/>
              </w:rPr>
              <w:br/>
              <w:t>Ver</w:t>
            </w:r>
            <w:r w:rsidRPr="00D14A1D">
              <w:rPr>
                <w:rFonts w:ascii="Calibri" w:eastAsia="Calibri" w:hAnsi="Calibri" w:cs="Times New Roman"/>
                <w:sz w:val="20"/>
                <w:szCs w:val="20"/>
              </w:rPr>
              <w:t>haltensempfehlungen</w:t>
            </w:r>
          </w:p>
          <w:p w14:paraId="5D65ED65" w14:textId="77777777" w:rsidR="00A13C43" w:rsidRDefault="00A13C43" w:rsidP="00B65A71">
            <w:pPr>
              <w:rPr>
                <w:rFonts w:ascii="Calibri" w:eastAsia="Calibri" w:hAnsi="Calibri" w:cs="Times New Roman"/>
                <w:sz w:val="20"/>
                <w:szCs w:val="20"/>
              </w:rPr>
            </w:pPr>
          </w:p>
          <w:p w14:paraId="2A511BD3" w14:textId="77777777" w:rsidR="00A13C43" w:rsidRPr="00D14A1D" w:rsidRDefault="00A13C43" w:rsidP="00B65A71">
            <w:pPr>
              <w:rPr>
                <w:rFonts w:ascii="Calibri" w:eastAsia="Calibri" w:hAnsi="Calibri" w:cs="Times New Roman"/>
                <w:sz w:val="20"/>
                <w:szCs w:val="20"/>
              </w:rPr>
            </w:pPr>
            <w:r w:rsidRPr="00D14A1D">
              <w:rPr>
                <w:rFonts w:ascii="Calibri" w:eastAsia="Calibri" w:hAnsi="Calibri" w:cs="Times New Roman"/>
                <w:sz w:val="20"/>
                <w:szCs w:val="20"/>
              </w:rPr>
              <w:t>Gliederung</w:t>
            </w:r>
          </w:p>
          <w:p w14:paraId="04A54938" w14:textId="77777777" w:rsidR="00A13C43" w:rsidRPr="00D14A1D" w:rsidRDefault="00A13C43" w:rsidP="00B65A71">
            <w:pPr>
              <w:rPr>
                <w:rFonts w:ascii="Calibri" w:eastAsia="Calibri" w:hAnsi="Calibri" w:cs="Times New Roman"/>
                <w:sz w:val="20"/>
                <w:szCs w:val="20"/>
              </w:rPr>
            </w:pPr>
          </w:p>
          <w:p w14:paraId="4BB9AECE" w14:textId="63C2E1C1" w:rsidR="00A13C43" w:rsidRPr="008A5E5F" w:rsidRDefault="00A13C43" w:rsidP="0076744C">
            <w:r w:rsidRPr="00D14A1D">
              <w:rPr>
                <w:rFonts w:ascii="Calibri" w:eastAsia="Calibri" w:hAnsi="Calibri" w:cs="Times New Roman"/>
                <w:sz w:val="20"/>
                <w:szCs w:val="20"/>
              </w:rPr>
              <w:t xml:space="preserve">Checkliste mit entwickelten </w:t>
            </w:r>
            <w:r>
              <w:rPr>
                <w:rFonts w:ascii="Calibri" w:eastAsia="Calibri" w:hAnsi="Calibri" w:cs="Times New Roman"/>
                <w:sz w:val="20"/>
                <w:szCs w:val="20"/>
              </w:rPr>
              <w:t>Qualitäts</w:t>
            </w:r>
            <w:r w:rsidRPr="00D14A1D">
              <w:rPr>
                <w:rFonts w:ascii="Calibri" w:eastAsia="Calibri" w:hAnsi="Calibri" w:cs="Times New Roman"/>
                <w:sz w:val="20"/>
                <w:szCs w:val="20"/>
              </w:rPr>
              <w:t>kriterien</w:t>
            </w:r>
          </w:p>
        </w:tc>
      </w:tr>
      <w:tr w:rsidR="00A13C43" w:rsidRPr="008A5E5F" w14:paraId="26C43DA4" w14:textId="77777777" w:rsidTr="009D50DA">
        <w:trPr>
          <w:trHeight w:val="2700"/>
        </w:trPr>
        <w:tc>
          <w:tcPr>
            <w:tcW w:w="2265" w:type="dxa"/>
            <w:vMerge/>
          </w:tcPr>
          <w:p w14:paraId="593DFE49" w14:textId="77777777" w:rsidR="00A13C43" w:rsidRPr="00330322" w:rsidRDefault="00A13C43" w:rsidP="008A5E5F">
            <w:pPr>
              <w:rPr>
                <w:b/>
              </w:rPr>
            </w:pPr>
          </w:p>
        </w:tc>
        <w:tc>
          <w:tcPr>
            <w:tcW w:w="2502" w:type="dxa"/>
            <w:vMerge/>
          </w:tcPr>
          <w:p w14:paraId="3A511C46" w14:textId="77777777" w:rsidR="00A13C43" w:rsidRDefault="00A13C43" w:rsidP="0090766F">
            <w:pPr>
              <w:ind w:left="171" w:hanging="171"/>
              <w:rPr>
                <w:sz w:val="20"/>
                <w:szCs w:val="20"/>
              </w:rPr>
            </w:pPr>
          </w:p>
        </w:tc>
        <w:tc>
          <w:tcPr>
            <w:tcW w:w="2322" w:type="dxa"/>
            <w:vMerge/>
          </w:tcPr>
          <w:p w14:paraId="54B67688" w14:textId="77777777" w:rsidR="00A13C43" w:rsidRDefault="00A13C43" w:rsidP="008A5E5F"/>
        </w:tc>
        <w:tc>
          <w:tcPr>
            <w:tcW w:w="2835" w:type="dxa"/>
          </w:tcPr>
          <w:p w14:paraId="5C7DCFE4" w14:textId="42D4C0A3" w:rsidR="00A13C43" w:rsidRPr="008644D6" w:rsidRDefault="00A13C43" w:rsidP="008A5E5F">
            <w:pPr>
              <w:rPr>
                <w:color w:val="5B9BD5" w:themeColor="accent1"/>
                <w:sz w:val="20"/>
                <w:szCs w:val="20"/>
              </w:rPr>
            </w:pPr>
            <w:r w:rsidRPr="008644D6">
              <w:rPr>
                <w:color w:val="5B9BD5" w:themeColor="accent1"/>
                <w:sz w:val="20"/>
                <w:szCs w:val="20"/>
              </w:rPr>
              <w:t>Programm zur</w:t>
            </w:r>
            <w:r w:rsidRPr="008644D6">
              <w:rPr>
                <w:color w:val="5B9BD5" w:themeColor="accent1"/>
              </w:rPr>
              <w:t xml:space="preserve"> </w:t>
            </w:r>
            <w:proofErr w:type="spellStart"/>
            <w:r w:rsidRPr="008644D6">
              <w:rPr>
                <w:color w:val="5B9BD5" w:themeColor="accent1"/>
                <w:sz w:val="20"/>
                <w:szCs w:val="20"/>
              </w:rPr>
              <w:t>kollaborativen</w:t>
            </w:r>
            <w:proofErr w:type="spellEnd"/>
            <w:r w:rsidRPr="008644D6">
              <w:rPr>
                <w:color w:val="5B9BD5" w:themeColor="accent1"/>
                <w:sz w:val="20"/>
                <w:szCs w:val="20"/>
              </w:rPr>
              <w:t xml:space="preserve"> Schreibarbeit</w:t>
            </w:r>
          </w:p>
          <w:p w14:paraId="4D2F18C6" w14:textId="22D64F74" w:rsidR="0076744C" w:rsidRPr="008644D6" w:rsidRDefault="0076744C" w:rsidP="008A5E5F">
            <w:pPr>
              <w:rPr>
                <w:color w:val="5B9BD5" w:themeColor="accent1"/>
                <w:sz w:val="20"/>
                <w:szCs w:val="20"/>
              </w:rPr>
            </w:pPr>
          </w:p>
          <w:p w14:paraId="12F197C9" w14:textId="588F96E4" w:rsidR="0076744C" w:rsidRPr="008644D6" w:rsidRDefault="0076744C" w:rsidP="008644D6">
            <w:pPr>
              <w:rPr>
                <w:color w:val="5B9BD5" w:themeColor="accent1"/>
                <w:sz w:val="20"/>
                <w:szCs w:val="20"/>
                <w:u w:val="single"/>
              </w:rPr>
            </w:pPr>
            <w:r w:rsidRPr="008644D6">
              <w:rPr>
                <w:color w:val="5B9BD5" w:themeColor="accent1"/>
                <w:sz w:val="20"/>
                <w:szCs w:val="20"/>
              </w:rPr>
              <w:t>Programm für digitales Buch</w:t>
            </w:r>
          </w:p>
          <w:p w14:paraId="69D770FC" w14:textId="77777777" w:rsidR="00A13C43" w:rsidRPr="008644D6" w:rsidRDefault="00A13C43" w:rsidP="008A5E5F">
            <w:pPr>
              <w:rPr>
                <w:color w:val="5B9BD5" w:themeColor="accent1"/>
                <w:sz w:val="20"/>
                <w:szCs w:val="20"/>
              </w:rPr>
            </w:pPr>
          </w:p>
          <w:p w14:paraId="6610F814" w14:textId="179C99F9" w:rsidR="00AB2691" w:rsidRPr="008644D6" w:rsidRDefault="00AB2691" w:rsidP="008644D6">
            <w:pPr>
              <w:rPr>
                <w:color w:val="5B9BD5" w:themeColor="accent1"/>
                <w:sz w:val="20"/>
                <w:szCs w:val="20"/>
                <w:u w:val="single"/>
              </w:rPr>
            </w:pPr>
            <w:r w:rsidRPr="008644D6">
              <w:rPr>
                <w:color w:val="5B9BD5" w:themeColor="accent1"/>
                <w:sz w:val="20"/>
                <w:szCs w:val="20"/>
              </w:rPr>
              <w:t xml:space="preserve">Programm zur Wissensabfrage </w:t>
            </w:r>
          </w:p>
          <w:p w14:paraId="2481CB6D" w14:textId="77777777" w:rsidR="00AB2691" w:rsidRPr="008644D6" w:rsidRDefault="00AB2691" w:rsidP="008A5E5F">
            <w:pPr>
              <w:rPr>
                <w:color w:val="5B9BD5" w:themeColor="accent1"/>
                <w:sz w:val="20"/>
                <w:szCs w:val="20"/>
              </w:rPr>
            </w:pPr>
          </w:p>
          <w:p w14:paraId="76EE15B8" w14:textId="6DCBA392" w:rsidR="00A13C43" w:rsidRPr="00A13C43" w:rsidRDefault="00A13C43" w:rsidP="008A5E5F">
            <w:pPr>
              <w:rPr>
                <w:sz w:val="20"/>
                <w:szCs w:val="20"/>
              </w:rPr>
            </w:pPr>
            <w:r w:rsidRPr="008644D6">
              <w:rPr>
                <w:color w:val="5B9BD5" w:themeColor="accent1"/>
                <w:sz w:val="20"/>
                <w:szCs w:val="20"/>
              </w:rPr>
              <w:t>Datenbank für Bilder</w:t>
            </w:r>
          </w:p>
        </w:tc>
      </w:tr>
      <w:bookmarkEnd w:id="1"/>
      <w:tr w:rsidR="00372148" w:rsidRPr="008A5E5F" w14:paraId="0C53E40E" w14:textId="77777777" w:rsidTr="00372148">
        <w:trPr>
          <w:trHeight w:val="1695"/>
        </w:trPr>
        <w:tc>
          <w:tcPr>
            <w:tcW w:w="2265" w:type="dxa"/>
            <w:vMerge w:val="restart"/>
          </w:tcPr>
          <w:p w14:paraId="535EB71B" w14:textId="77777777" w:rsidR="00372148" w:rsidRPr="00DF0373" w:rsidRDefault="00372148" w:rsidP="008A5E5F">
            <w:pPr>
              <w:rPr>
                <w:b/>
              </w:rPr>
            </w:pPr>
            <w:r w:rsidRPr="00DF0373">
              <w:rPr>
                <w:b/>
              </w:rPr>
              <w:t>Kontrollieren / Bewerten</w:t>
            </w:r>
          </w:p>
          <w:p w14:paraId="73A365E4" w14:textId="77777777" w:rsidR="00372148" w:rsidRPr="00DF0373" w:rsidRDefault="00372148" w:rsidP="008A5E5F">
            <w:r w:rsidRPr="00DF0373">
              <w:rPr>
                <w:i/>
                <w:sz w:val="18"/>
                <w:szCs w:val="18"/>
              </w:rPr>
              <w:t>Die Schülerinnen und Schüler kontrollieren das Handlungsergebnis auf Vollständigkeit und Plausibilität gemäß festgelegter Beurteilungskriterien (Soll-Ist-Vergleich). Sie beurteilen die Eignung des Handlungsergebnisses als Lösung für die zentrale</w:t>
            </w:r>
            <w:r w:rsidRPr="00DF0373">
              <w:rPr>
                <w:i/>
              </w:rPr>
              <w:t xml:space="preserve"> </w:t>
            </w:r>
            <w:r w:rsidRPr="00DF0373">
              <w:rPr>
                <w:i/>
                <w:sz w:val="18"/>
                <w:szCs w:val="18"/>
              </w:rPr>
              <w:t>Aufgaben-, Frage- bzw. Problemstellung</w:t>
            </w:r>
            <w:r w:rsidRPr="00DF0373">
              <w:rPr>
                <w:sz w:val="18"/>
                <w:szCs w:val="18"/>
              </w:rPr>
              <w:t>.</w:t>
            </w:r>
          </w:p>
        </w:tc>
        <w:tc>
          <w:tcPr>
            <w:tcW w:w="2502" w:type="dxa"/>
            <w:vMerge w:val="restart"/>
          </w:tcPr>
          <w:p w14:paraId="704A746F" w14:textId="77777777" w:rsidR="00372148" w:rsidRDefault="00372148" w:rsidP="008F4833">
            <w:pPr>
              <w:ind w:left="171" w:hanging="171"/>
              <w:rPr>
                <w:sz w:val="20"/>
                <w:szCs w:val="20"/>
              </w:rPr>
            </w:pPr>
          </w:p>
          <w:p w14:paraId="2F0BAAA6" w14:textId="6EF167D9" w:rsidR="00372148" w:rsidRDefault="00372148" w:rsidP="008F4833">
            <w:pPr>
              <w:ind w:left="171" w:hanging="171"/>
              <w:rPr>
                <w:rFonts w:ascii="Calibri" w:eastAsia="Calibri" w:hAnsi="Calibri" w:cs="Times New Roman"/>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bewerten mithilfe der entwickelten</w:t>
            </w:r>
            <w:r w:rsidRPr="00D14A1D">
              <w:rPr>
                <w:rFonts w:eastAsia="FranklinGotCdITC-Book" w:cs="FranklinGotCdITC-Book"/>
                <w:sz w:val="20"/>
                <w:szCs w:val="20"/>
              </w:rPr>
              <w:t xml:space="preserve"> </w:t>
            </w:r>
            <w:r w:rsidRPr="00D14A1D">
              <w:rPr>
                <w:sz w:val="20"/>
                <w:szCs w:val="20"/>
              </w:rPr>
              <w:t xml:space="preserve">Qualitätskriterien </w:t>
            </w:r>
            <w:r>
              <w:rPr>
                <w:sz w:val="20"/>
                <w:szCs w:val="20"/>
              </w:rPr>
              <w:t xml:space="preserve">die </w:t>
            </w:r>
            <w:r>
              <w:rPr>
                <w:rFonts w:ascii="Calibri" w:eastAsia="Calibri" w:hAnsi="Calibri" w:cs="Times New Roman"/>
                <w:sz w:val="20"/>
                <w:szCs w:val="20"/>
              </w:rPr>
              <w:t>Handlungsempfehlung</w:t>
            </w:r>
            <w:r w:rsidRPr="00D14A1D">
              <w:rPr>
                <w:rFonts w:ascii="Calibri" w:eastAsia="Calibri" w:hAnsi="Calibri" w:cs="Times New Roman"/>
                <w:sz w:val="20"/>
                <w:szCs w:val="20"/>
              </w:rPr>
              <w:t>.</w:t>
            </w:r>
          </w:p>
          <w:p w14:paraId="66ABA077" w14:textId="0970C718" w:rsidR="00372148" w:rsidRDefault="00372148" w:rsidP="00C543B8">
            <w:pPr>
              <w:ind w:left="171" w:hanging="171"/>
              <w:rPr>
                <w:rFonts w:ascii="Calibri" w:eastAsia="Calibri" w:hAnsi="Calibri" w:cs="Times New Roman"/>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vergleichen die tatsächliche Durchführung mit den früheren Planungsentscheidungen</w:t>
            </w:r>
            <w:r w:rsidRPr="00D14A1D">
              <w:rPr>
                <w:rFonts w:ascii="Calibri" w:eastAsia="Calibri" w:hAnsi="Calibri" w:cs="Times New Roman"/>
                <w:sz w:val="20"/>
                <w:szCs w:val="20"/>
              </w:rPr>
              <w:t>.</w:t>
            </w:r>
          </w:p>
          <w:p w14:paraId="3E29DA61" w14:textId="77777777" w:rsidR="00372148" w:rsidRDefault="00372148" w:rsidP="008F4833">
            <w:pPr>
              <w:ind w:left="171" w:hanging="171"/>
              <w:rPr>
                <w:rFonts w:ascii="Calibri" w:eastAsia="Calibri" w:hAnsi="Calibri" w:cs="Times New Roman"/>
                <w:sz w:val="20"/>
                <w:szCs w:val="20"/>
              </w:rPr>
            </w:pPr>
          </w:p>
          <w:p w14:paraId="5E88C8EC" w14:textId="77777777" w:rsidR="00372148" w:rsidRPr="008A5E5F" w:rsidRDefault="00372148" w:rsidP="008A5E5F"/>
        </w:tc>
        <w:tc>
          <w:tcPr>
            <w:tcW w:w="2322" w:type="dxa"/>
            <w:vMerge w:val="restart"/>
          </w:tcPr>
          <w:p w14:paraId="545393A0" w14:textId="77777777" w:rsidR="00372148" w:rsidRPr="008F4833" w:rsidRDefault="00372148" w:rsidP="008A5E5F">
            <w:pPr>
              <w:rPr>
                <w:bCs/>
              </w:rPr>
            </w:pPr>
          </w:p>
          <w:p w14:paraId="55E9AFE2" w14:textId="77777777" w:rsidR="00372148" w:rsidRDefault="00372148" w:rsidP="008F4833">
            <w:pPr>
              <w:ind w:left="171" w:hanging="171"/>
              <w:rPr>
                <w:rFonts w:eastAsia="FranklinGotCdITC-Book" w:cs="FranklinGotCdITC-Book"/>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stimmen überzeugenden Argumenten zu.</w:t>
            </w:r>
          </w:p>
          <w:p w14:paraId="4090F18E" w14:textId="1FA9E8C5" w:rsidR="00372148" w:rsidRPr="008F4833" w:rsidRDefault="00372148" w:rsidP="008A5E5F">
            <w:pPr>
              <w:rPr>
                <w:bCs/>
              </w:rPr>
            </w:pPr>
          </w:p>
        </w:tc>
        <w:tc>
          <w:tcPr>
            <w:tcW w:w="2835" w:type="dxa"/>
            <w:tcBorders>
              <w:bottom w:val="single" w:sz="4" w:space="0" w:color="auto"/>
            </w:tcBorders>
          </w:tcPr>
          <w:p w14:paraId="0A9FEB08" w14:textId="77777777" w:rsidR="00372148" w:rsidRDefault="00372148" w:rsidP="008A5E5F"/>
          <w:p w14:paraId="15E88FAC" w14:textId="77777777" w:rsidR="00AB2691" w:rsidRDefault="00AB2691" w:rsidP="00AB2691">
            <w:pPr>
              <w:rPr>
                <w:sz w:val="20"/>
                <w:szCs w:val="20"/>
              </w:rPr>
            </w:pPr>
            <w:r>
              <w:rPr>
                <w:sz w:val="20"/>
                <w:szCs w:val="20"/>
              </w:rPr>
              <w:t>Museumsrundgang, Vernissage</w:t>
            </w:r>
          </w:p>
          <w:p w14:paraId="48775B0F" w14:textId="77777777" w:rsidR="00AB2691" w:rsidRDefault="00AB2691" w:rsidP="00AB2691">
            <w:pPr>
              <w:rPr>
                <w:sz w:val="20"/>
                <w:szCs w:val="20"/>
              </w:rPr>
            </w:pPr>
          </w:p>
          <w:p w14:paraId="138FBD0A" w14:textId="691E34A0" w:rsidR="00AB2691" w:rsidRPr="00372148" w:rsidRDefault="00AB2691" w:rsidP="00AB2691">
            <w:pPr>
              <w:rPr>
                <w:sz w:val="20"/>
                <w:szCs w:val="20"/>
              </w:rPr>
            </w:pPr>
            <w:r>
              <w:rPr>
                <w:sz w:val="20"/>
                <w:szCs w:val="20"/>
              </w:rPr>
              <w:t>Checkliste, Diskussion</w:t>
            </w:r>
          </w:p>
        </w:tc>
      </w:tr>
      <w:tr w:rsidR="00372148" w:rsidRPr="008A5E5F" w14:paraId="1FC29120" w14:textId="77777777" w:rsidTr="009D50DA">
        <w:trPr>
          <w:trHeight w:val="1695"/>
        </w:trPr>
        <w:tc>
          <w:tcPr>
            <w:tcW w:w="2265" w:type="dxa"/>
            <w:vMerge/>
          </w:tcPr>
          <w:p w14:paraId="27F8193B" w14:textId="77777777" w:rsidR="00372148" w:rsidRPr="00DF0373" w:rsidRDefault="00372148" w:rsidP="008A5E5F">
            <w:pPr>
              <w:rPr>
                <w:b/>
              </w:rPr>
            </w:pPr>
          </w:p>
        </w:tc>
        <w:tc>
          <w:tcPr>
            <w:tcW w:w="2502" w:type="dxa"/>
            <w:vMerge/>
          </w:tcPr>
          <w:p w14:paraId="73ECB0FD" w14:textId="77777777" w:rsidR="00372148" w:rsidRDefault="00372148" w:rsidP="008F4833">
            <w:pPr>
              <w:ind w:left="171" w:hanging="171"/>
              <w:rPr>
                <w:sz w:val="20"/>
                <w:szCs w:val="20"/>
              </w:rPr>
            </w:pPr>
          </w:p>
        </w:tc>
        <w:tc>
          <w:tcPr>
            <w:tcW w:w="2322" w:type="dxa"/>
            <w:vMerge/>
          </w:tcPr>
          <w:p w14:paraId="5A4EE1D4" w14:textId="77777777" w:rsidR="00372148" w:rsidRPr="008F4833" w:rsidRDefault="00372148" w:rsidP="008A5E5F">
            <w:pPr>
              <w:rPr>
                <w:bCs/>
              </w:rPr>
            </w:pPr>
          </w:p>
        </w:tc>
        <w:tc>
          <w:tcPr>
            <w:tcW w:w="2835" w:type="dxa"/>
            <w:tcBorders>
              <w:bottom w:val="single" w:sz="4" w:space="0" w:color="auto"/>
            </w:tcBorders>
          </w:tcPr>
          <w:p w14:paraId="1F3A6F0A" w14:textId="436574B3" w:rsidR="00372148" w:rsidRPr="00AB2691" w:rsidRDefault="00AB2691" w:rsidP="008A5E5F">
            <w:pPr>
              <w:rPr>
                <w:sz w:val="20"/>
                <w:szCs w:val="20"/>
              </w:rPr>
            </w:pPr>
            <w:r w:rsidRPr="007F3E29">
              <w:rPr>
                <w:color w:val="5B9BD5" w:themeColor="accent1"/>
                <w:sz w:val="20"/>
                <w:szCs w:val="20"/>
              </w:rPr>
              <w:t xml:space="preserve">Umfrage mithilfe des Umfragetools </w:t>
            </w:r>
            <w:r w:rsidR="00C6368E" w:rsidRPr="007F3E29">
              <w:rPr>
                <w:color w:val="5B9BD5" w:themeColor="accent1"/>
                <w:sz w:val="20"/>
                <w:szCs w:val="20"/>
              </w:rPr>
              <w:t>des Videokonferenzsystems</w:t>
            </w:r>
          </w:p>
        </w:tc>
      </w:tr>
      <w:tr w:rsidR="00372148" w:rsidRPr="008A5E5F" w14:paraId="5C3B798D" w14:textId="77777777" w:rsidTr="00372148">
        <w:trPr>
          <w:trHeight w:val="1565"/>
        </w:trPr>
        <w:tc>
          <w:tcPr>
            <w:tcW w:w="2265" w:type="dxa"/>
            <w:vMerge w:val="restart"/>
          </w:tcPr>
          <w:p w14:paraId="0960A224" w14:textId="77777777" w:rsidR="00372148" w:rsidRPr="009D50DA" w:rsidRDefault="00372148" w:rsidP="008A5E5F">
            <w:pPr>
              <w:rPr>
                <w:b/>
                <w:u w:val="single"/>
              </w:rPr>
            </w:pPr>
            <w:r w:rsidRPr="009D50DA">
              <w:rPr>
                <w:b/>
              </w:rPr>
              <w:t>Reflektieren</w:t>
            </w:r>
          </w:p>
          <w:p w14:paraId="5B38E344" w14:textId="2C3B79D5" w:rsidR="00372148" w:rsidRPr="00330322" w:rsidRDefault="00372148" w:rsidP="008A5E5F">
            <w:pPr>
              <w:rPr>
                <w:i/>
                <w:sz w:val="18"/>
                <w:szCs w:val="18"/>
              </w:rPr>
            </w:pPr>
            <w:r w:rsidRPr="00330322">
              <w:rPr>
                <w:i/>
                <w:sz w:val="18"/>
                <w:szCs w:val="18"/>
              </w:rPr>
              <w:t>Die Schülerinnen und Schüler reflektieren die Bearbeitung der komplexen Aufgaben-, Frage- bzw. Problemstellung. Sie identifizieren Stärken und Verbesserungspotentiale des eigenen Lernprozesses sowie des Arbeitsprozesses in den Phasen der vollständigen Handlung und erweitern damit ihre Handlungskompetenz.</w:t>
            </w:r>
          </w:p>
        </w:tc>
        <w:tc>
          <w:tcPr>
            <w:tcW w:w="2502" w:type="dxa"/>
            <w:vMerge w:val="restart"/>
          </w:tcPr>
          <w:p w14:paraId="30739DA4" w14:textId="4692A282" w:rsidR="00372148" w:rsidRDefault="00372148" w:rsidP="008A5E5F"/>
          <w:p w14:paraId="4C63A29F" w14:textId="5BFEEBD6" w:rsidR="00372148" w:rsidRDefault="00372148" w:rsidP="00C543B8">
            <w:pPr>
              <w:ind w:left="171" w:hanging="171"/>
              <w:rPr>
                <w:rFonts w:ascii="Calibri" w:eastAsia="Calibri" w:hAnsi="Calibri" w:cs="Times New Roman"/>
                <w:sz w:val="20"/>
                <w:szCs w:val="20"/>
              </w:rPr>
            </w:pPr>
            <w:r w:rsidRPr="00D14A1D">
              <w:rPr>
                <w:sz w:val="20"/>
                <w:szCs w:val="20"/>
              </w:rPr>
              <w:t>…</w:t>
            </w:r>
            <w:r w:rsidRPr="00D14A1D">
              <w:rPr>
                <w:rFonts w:eastAsia="FranklinGotCdITC-Book" w:cs="FranklinGotCdITC-Book"/>
                <w:sz w:val="20"/>
                <w:szCs w:val="20"/>
              </w:rPr>
              <w:tab/>
            </w:r>
            <w:r>
              <w:rPr>
                <w:rFonts w:eastAsia="FranklinGotCdITC-Book" w:cs="FranklinGotCdITC-Book"/>
                <w:sz w:val="20"/>
                <w:szCs w:val="20"/>
              </w:rPr>
              <w:t>reflektieren auf der Metaebene die erworbenen Kompetenzen in der Lernsituation.</w:t>
            </w:r>
          </w:p>
          <w:p w14:paraId="02713750" w14:textId="77777777" w:rsidR="00372148" w:rsidRPr="008A5E5F" w:rsidRDefault="00372148" w:rsidP="008A5E5F"/>
          <w:p w14:paraId="5E7372AB" w14:textId="77777777" w:rsidR="00372148" w:rsidRPr="008A5E5F" w:rsidRDefault="00372148" w:rsidP="008A5E5F"/>
        </w:tc>
        <w:tc>
          <w:tcPr>
            <w:tcW w:w="2322" w:type="dxa"/>
            <w:vMerge w:val="restart"/>
          </w:tcPr>
          <w:p w14:paraId="51ECD939" w14:textId="7C5294B1" w:rsidR="00372148" w:rsidRDefault="00372148" w:rsidP="008A5E5F"/>
          <w:p w14:paraId="61BDB04D" w14:textId="6006FB11" w:rsidR="00372148" w:rsidRDefault="00372148" w:rsidP="00B33CF8">
            <w:pPr>
              <w:ind w:left="171" w:hanging="171"/>
              <w:rPr>
                <w:rFonts w:cs="Helvetica"/>
                <w:sz w:val="20"/>
                <w:szCs w:val="20"/>
              </w:rPr>
            </w:pPr>
            <w:r w:rsidRPr="00D14A1D">
              <w:rPr>
                <w:sz w:val="20"/>
                <w:szCs w:val="20"/>
              </w:rPr>
              <w:t>…</w:t>
            </w:r>
            <w:r w:rsidRPr="00D14A1D">
              <w:rPr>
                <w:rFonts w:eastAsia="FranklinGotCdITC-Book" w:cs="FranklinGotCdITC-Book"/>
                <w:sz w:val="20"/>
                <w:szCs w:val="20"/>
              </w:rPr>
              <w:tab/>
            </w:r>
            <w:r w:rsidRPr="00514058">
              <w:rPr>
                <w:rFonts w:cs="Helvetica"/>
                <w:sz w:val="20"/>
                <w:szCs w:val="20"/>
              </w:rPr>
              <w:t>reflektieren eigene und andere Arbeitsergebnisse nach Kriterien.</w:t>
            </w:r>
          </w:p>
          <w:p w14:paraId="06DAA953" w14:textId="2CBA7E01" w:rsidR="00372148" w:rsidRDefault="00372148" w:rsidP="00B33CF8">
            <w:pPr>
              <w:ind w:left="171" w:hanging="171"/>
              <w:rPr>
                <w:rFonts w:cs="Helvetica"/>
                <w:sz w:val="20"/>
                <w:szCs w:val="20"/>
              </w:rPr>
            </w:pPr>
            <w:r w:rsidRPr="00D14A1D">
              <w:rPr>
                <w:sz w:val="20"/>
                <w:szCs w:val="20"/>
              </w:rPr>
              <w:t>…</w:t>
            </w:r>
            <w:r w:rsidRPr="00D14A1D">
              <w:rPr>
                <w:rFonts w:eastAsia="FranklinGotCdITC-Book" w:cs="FranklinGotCdITC-Book"/>
                <w:sz w:val="20"/>
                <w:szCs w:val="20"/>
              </w:rPr>
              <w:tab/>
            </w:r>
            <w:r w:rsidRPr="00514058">
              <w:rPr>
                <w:rFonts w:cs="Helvetica"/>
                <w:sz w:val="20"/>
                <w:szCs w:val="20"/>
              </w:rPr>
              <w:t>geben und nehmen Feedback.</w:t>
            </w:r>
          </w:p>
          <w:p w14:paraId="0E02FF03" w14:textId="0E118A21" w:rsidR="00372148" w:rsidRPr="008A5E5F" w:rsidRDefault="00372148" w:rsidP="008A5E5F"/>
        </w:tc>
        <w:tc>
          <w:tcPr>
            <w:tcW w:w="2835" w:type="dxa"/>
          </w:tcPr>
          <w:p w14:paraId="41845DDC" w14:textId="77777777" w:rsidR="00372148" w:rsidRDefault="00372148" w:rsidP="008A5E5F"/>
          <w:p w14:paraId="23FDD75B" w14:textId="44664336" w:rsidR="00372148" w:rsidRPr="00372148" w:rsidRDefault="00372148" w:rsidP="008A5E5F">
            <w:pPr>
              <w:rPr>
                <w:sz w:val="20"/>
                <w:szCs w:val="20"/>
              </w:rPr>
            </w:pPr>
            <w:r w:rsidRPr="00372148">
              <w:rPr>
                <w:sz w:val="20"/>
                <w:szCs w:val="20"/>
              </w:rPr>
              <w:t>Zielscheibe</w:t>
            </w:r>
            <w:r w:rsidR="0076744C">
              <w:rPr>
                <w:sz w:val="20"/>
                <w:szCs w:val="20"/>
              </w:rPr>
              <w:t>, Hühnerhof</w:t>
            </w:r>
          </w:p>
        </w:tc>
      </w:tr>
      <w:tr w:rsidR="00372148" w:rsidRPr="008A5E5F" w14:paraId="2FAA39F0" w14:textId="77777777" w:rsidTr="009D50DA">
        <w:trPr>
          <w:trHeight w:val="1565"/>
        </w:trPr>
        <w:tc>
          <w:tcPr>
            <w:tcW w:w="2265" w:type="dxa"/>
            <w:vMerge/>
          </w:tcPr>
          <w:p w14:paraId="5C3A461E" w14:textId="77777777" w:rsidR="00372148" w:rsidRPr="009D50DA" w:rsidRDefault="00372148" w:rsidP="008A5E5F">
            <w:pPr>
              <w:rPr>
                <w:b/>
              </w:rPr>
            </w:pPr>
          </w:p>
        </w:tc>
        <w:tc>
          <w:tcPr>
            <w:tcW w:w="2502" w:type="dxa"/>
            <w:vMerge/>
          </w:tcPr>
          <w:p w14:paraId="42A0C28B" w14:textId="77777777" w:rsidR="00372148" w:rsidRDefault="00372148" w:rsidP="008A5E5F"/>
        </w:tc>
        <w:tc>
          <w:tcPr>
            <w:tcW w:w="2322" w:type="dxa"/>
            <w:vMerge/>
          </w:tcPr>
          <w:p w14:paraId="2C541993" w14:textId="77777777" w:rsidR="00372148" w:rsidRDefault="00372148" w:rsidP="008A5E5F"/>
        </w:tc>
        <w:tc>
          <w:tcPr>
            <w:tcW w:w="2835" w:type="dxa"/>
            <w:tcBorders>
              <w:bottom w:val="single" w:sz="4" w:space="0" w:color="auto"/>
            </w:tcBorders>
          </w:tcPr>
          <w:p w14:paraId="7EA4F0EA" w14:textId="24E847A6" w:rsidR="0076744C" w:rsidRPr="007F3E29" w:rsidRDefault="0076744C" w:rsidP="0076744C">
            <w:pPr>
              <w:rPr>
                <w:rFonts w:ascii="Calibri" w:eastAsia="Calibri" w:hAnsi="Calibri" w:cs="Times New Roman"/>
                <w:color w:val="5B9BD5" w:themeColor="accent1"/>
                <w:sz w:val="20"/>
                <w:szCs w:val="20"/>
              </w:rPr>
            </w:pPr>
            <w:proofErr w:type="spellStart"/>
            <w:r w:rsidRPr="007F3E29">
              <w:rPr>
                <w:rFonts w:ascii="Calibri" w:eastAsia="Calibri" w:hAnsi="Calibri" w:cs="Times New Roman"/>
                <w:color w:val="5B9BD5" w:themeColor="accent1"/>
                <w:sz w:val="20"/>
                <w:szCs w:val="20"/>
              </w:rPr>
              <w:t>Lerntool</w:t>
            </w:r>
            <w:proofErr w:type="spellEnd"/>
            <w:r w:rsidRPr="007F3E29">
              <w:rPr>
                <w:rFonts w:ascii="Calibri" w:eastAsia="Calibri" w:hAnsi="Calibri" w:cs="Times New Roman"/>
                <w:color w:val="5B9BD5" w:themeColor="accent1"/>
                <w:sz w:val="20"/>
                <w:szCs w:val="20"/>
              </w:rPr>
              <w:t xml:space="preserve"> für Feedback</w:t>
            </w:r>
          </w:p>
          <w:p w14:paraId="3165F664" w14:textId="68381E0C" w:rsidR="00372148" w:rsidRDefault="00372148" w:rsidP="0076744C"/>
        </w:tc>
      </w:tr>
    </w:tbl>
    <w:p w14:paraId="74DA00F8" w14:textId="4C402450" w:rsidR="007F3E29" w:rsidRDefault="007F3E29" w:rsidP="0079627A"/>
    <w:p w14:paraId="53BDED4C" w14:textId="4BE03138" w:rsidR="007F3E29" w:rsidRDefault="007F3E29"/>
    <w:sectPr w:rsidR="007F3E29" w:rsidSect="00B93980">
      <w:footerReference w:type="default" r:id="rId11"/>
      <w:pgSz w:w="11906" w:h="16838"/>
      <w:pgMar w:top="964" w:right="1418"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9960B" w14:textId="77777777" w:rsidR="00412DDC" w:rsidRDefault="00412DDC" w:rsidP="002A6235">
      <w:pPr>
        <w:spacing w:after="0" w:line="240" w:lineRule="auto"/>
      </w:pPr>
      <w:r>
        <w:separator/>
      </w:r>
    </w:p>
  </w:endnote>
  <w:endnote w:type="continuationSeparator" w:id="0">
    <w:p w14:paraId="3F3C2B99" w14:textId="77777777" w:rsidR="00412DDC" w:rsidRDefault="00412DDC" w:rsidP="002A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ranklinGotCdITC-Book">
    <w:altName w:val="MS Gothic"/>
    <w:panose1 w:val="00000000000000000000"/>
    <w:charset w:val="80"/>
    <w:family w:val="swiss"/>
    <w:notTrueType/>
    <w:pitch w:val="default"/>
    <w:sig w:usb0="00000000" w:usb1="08070000" w:usb2="00000010" w:usb3="00000000" w:csb0="00020000"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537529"/>
      <w:docPartObj>
        <w:docPartGallery w:val="Page Numbers (Bottom of Page)"/>
        <w:docPartUnique/>
      </w:docPartObj>
    </w:sdtPr>
    <w:sdtEndPr>
      <w:rPr>
        <w:color w:val="1F3864" w:themeColor="accent5" w:themeShade="80"/>
      </w:rPr>
    </w:sdtEndPr>
    <w:sdtContent>
      <w:p w14:paraId="1E11C5AE" w14:textId="04C6755B" w:rsidR="00497EDE" w:rsidRPr="000467C6" w:rsidRDefault="002A56B9" w:rsidP="00D549EC">
        <w:pPr>
          <w:pStyle w:val="Kopfzeile"/>
          <w:jc w:val="right"/>
          <w:rPr>
            <w:color w:val="1F3864" w:themeColor="accent5" w:themeShade="80"/>
          </w:rPr>
        </w:pPr>
        <w:r w:rsidRPr="000467C6">
          <w:rPr>
            <w:color w:val="1F3864" w:themeColor="accent5" w:themeShade="80"/>
          </w:rPr>
          <w:fldChar w:fldCharType="begin"/>
        </w:r>
        <w:r w:rsidRPr="000467C6">
          <w:rPr>
            <w:color w:val="1F3864" w:themeColor="accent5" w:themeShade="80"/>
          </w:rPr>
          <w:instrText>PAGE   \* MERGEFORMAT</w:instrText>
        </w:r>
        <w:r w:rsidRPr="000467C6">
          <w:rPr>
            <w:color w:val="1F3864" w:themeColor="accent5" w:themeShade="80"/>
          </w:rPr>
          <w:fldChar w:fldCharType="separate"/>
        </w:r>
        <w:r w:rsidR="00010FC1">
          <w:rPr>
            <w:noProof/>
            <w:color w:val="1F3864" w:themeColor="accent5" w:themeShade="80"/>
          </w:rPr>
          <w:t>2</w:t>
        </w:r>
        <w:r w:rsidRPr="000467C6">
          <w:rPr>
            <w:color w:val="1F3864" w:themeColor="accent5" w:themeShade="8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398418"/>
      <w:docPartObj>
        <w:docPartGallery w:val="Page Numbers (Bottom of Page)"/>
        <w:docPartUnique/>
      </w:docPartObj>
    </w:sdtPr>
    <w:sdtEndPr>
      <w:rPr>
        <w:color w:val="1F3864" w:themeColor="accent5" w:themeShade="80"/>
      </w:rPr>
    </w:sdtEndPr>
    <w:sdtContent>
      <w:p w14:paraId="0C881116" w14:textId="661D4674" w:rsidR="00CF451A" w:rsidRPr="000467C6" w:rsidRDefault="00CF451A" w:rsidP="00D549EC">
        <w:pPr>
          <w:pStyle w:val="Kopfzeile"/>
          <w:jc w:val="right"/>
          <w:rPr>
            <w:color w:val="1F3864" w:themeColor="accent5" w:themeShade="80"/>
          </w:rPr>
        </w:pPr>
        <w:r w:rsidRPr="000467C6">
          <w:rPr>
            <w:color w:val="1F3864" w:themeColor="accent5" w:themeShade="80"/>
          </w:rPr>
          <w:fldChar w:fldCharType="begin"/>
        </w:r>
        <w:r w:rsidRPr="000467C6">
          <w:rPr>
            <w:color w:val="1F3864" w:themeColor="accent5" w:themeShade="80"/>
          </w:rPr>
          <w:instrText>PAGE   \* MERGEFORMAT</w:instrText>
        </w:r>
        <w:r w:rsidRPr="000467C6">
          <w:rPr>
            <w:color w:val="1F3864" w:themeColor="accent5" w:themeShade="80"/>
          </w:rPr>
          <w:fldChar w:fldCharType="separate"/>
        </w:r>
        <w:r w:rsidR="00010FC1">
          <w:rPr>
            <w:noProof/>
            <w:color w:val="1F3864" w:themeColor="accent5" w:themeShade="80"/>
          </w:rPr>
          <w:t>4</w:t>
        </w:r>
        <w:r w:rsidRPr="000467C6">
          <w:rPr>
            <w:color w:val="1F3864" w:themeColor="accent5" w:themeShade="8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66DF8" w14:textId="77777777" w:rsidR="00412DDC" w:rsidRDefault="00412DDC" w:rsidP="002A6235">
      <w:pPr>
        <w:spacing w:after="0" w:line="240" w:lineRule="auto"/>
      </w:pPr>
      <w:r>
        <w:separator/>
      </w:r>
    </w:p>
  </w:footnote>
  <w:footnote w:type="continuationSeparator" w:id="0">
    <w:p w14:paraId="31E2EBFC" w14:textId="77777777" w:rsidR="00412DDC" w:rsidRDefault="00412DDC" w:rsidP="002A6235">
      <w:pPr>
        <w:spacing w:after="0" w:line="240" w:lineRule="auto"/>
      </w:pPr>
      <w:r>
        <w:continuationSeparator/>
      </w:r>
    </w:p>
  </w:footnote>
  <w:footnote w:id="1">
    <w:p w14:paraId="6BABE744" w14:textId="7CF1867A" w:rsidR="002E695D" w:rsidRPr="002E695D" w:rsidRDefault="002E695D" w:rsidP="00B26461">
      <w:pPr>
        <w:spacing w:after="120" w:line="240" w:lineRule="auto"/>
        <w:rPr>
          <w:rFonts w:ascii="Calibri" w:hAnsi="Calibri" w:cs="Calibri"/>
          <w:sz w:val="20"/>
          <w:szCs w:val="20"/>
        </w:rPr>
      </w:pPr>
      <w:r w:rsidRPr="002E695D">
        <w:rPr>
          <w:rStyle w:val="Funotenzeichen"/>
          <w:rFonts w:ascii="Calibri" w:hAnsi="Calibri" w:cs="Calibri"/>
          <w:sz w:val="20"/>
          <w:szCs w:val="20"/>
        </w:rPr>
        <w:footnoteRef/>
      </w:r>
      <w:r w:rsidRPr="002E695D">
        <w:rPr>
          <w:rFonts w:ascii="Calibri" w:hAnsi="Calibri" w:cs="Calibri"/>
          <w:sz w:val="20"/>
          <w:szCs w:val="20"/>
        </w:rPr>
        <w:t xml:space="preserve"> </w:t>
      </w:r>
      <w:r>
        <w:rPr>
          <w:rFonts w:ascii="Calibri" w:hAnsi="Calibri" w:cs="Calibri"/>
          <w:sz w:val="20"/>
          <w:szCs w:val="20"/>
        </w:rPr>
        <w:t xml:space="preserve">Checkliste </w:t>
      </w:r>
      <w:proofErr w:type="spellStart"/>
      <w:r>
        <w:rPr>
          <w:rFonts w:ascii="Calibri" w:hAnsi="Calibri" w:cs="Calibri"/>
          <w:sz w:val="20"/>
          <w:szCs w:val="20"/>
        </w:rPr>
        <w:t>Gelingensbedingungen</w:t>
      </w:r>
      <w:proofErr w:type="spellEnd"/>
      <w:r>
        <w:rPr>
          <w:rFonts w:ascii="Calibri" w:hAnsi="Calibri" w:cs="Calibri"/>
          <w:sz w:val="20"/>
          <w:szCs w:val="20"/>
        </w:rPr>
        <w:t xml:space="preserve"> digitalen Unterrichts. In:</w:t>
      </w:r>
      <w:r>
        <w:rPr>
          <w:rFonts w:ascii="Calibri" w:hAnsi="Calibri" w:cs="Calibri"/>
          <w:sz w:val="20"/>
          <w:szCs w:val="20"/>
        </w:rPr>
        <w:br/>
      </w:r>
      <w:r w:rsidRPr="002E695D">
        <w:rPr>
          <w:rFonts w:ascii="Calibri" w:hAnsi="Calibri" w:cs="Calibri"/>
          <w:sz w:val="20"/>
          <w:szCs w:val="20"/>
        </w:rPr>
        <w:t xml:space="preserve">Emmermann, R.; Fastenrath, S.; </w:t>
      </w:r>
      <w:proofErr w:type="spellStart"/>
      <w:r w:rsidRPr="002E695D">
        <w:rPr>
          <w:rFonts w:ascii="Calibri" w:hAnsi="Calibri" w:cs="Calibri"/>
          <w:sz w:val="20"/>
          <w:szCs w:val="20"/>
        </w:rPr>
        <w:t>Spalke</w:t>
      </w:r>
      <w:proofErr w:type="spellEnd"/>
      <w:r w:rsidRPr="002E695D">
        <w:rPr>
          <w:rFonts w:ascii="Calibri" w:hAnsi="Calibri" w:cs="Calibri"/>
          <w:sz w:val="20"/>
          <w:szCs w:val="20"/>
        </w:rPr>
        <w:t xml:space="preserve">, T. (2020): Digital unterrichten – </w:t>
      </w:r>
      <w:proofErr w:type="spellStart"/>
      <w:r w:rsidRPr="002E695D">
        <w:rPr>
          <w:rFonts w:ascii="Calibri" w:hAnsi="Calibri" w:cs="Calibri"/>
          <w:sz w:val="20"/>
          <w:szCs w:val="20"/>
        </w:rPr>
        <w:t>Gelingensbedingungen</w:t>
      </w:r>
      <w:proofErr w:type="spellEnd"/>
      <w:r w:rsidRPr="002E695D">
        <w:rPr>
          <w:rFonts w:ascii="Calibri" w:hAnsi="Calibri" w:cs="Calibri"/>
          <w:sz w:val="20"/>
          <w:szCs w:val="20"/>
        </w:rPr>
        <w:t xml:space="preserve"> und Unterrichtsbeispiele, in: Bildung und Beruf, Ausgabe 6/2020</w:t>
      </w:r>
      <w:r w:rsidRPr="002E695D">
        <w:rPr>
          <w:rFonts w:ascii="Calibri" w:hAnsi="Calibri" w:cs="Calibri"/>
          <w:sz w:val="20"/>
          <w:szCs w:val="20"/>
        </w:rPr>
        <w:br/>
      </w:r>
      <w:hyperlink r:id="rId1" w:history="1">
        <w:r w:rsidRPr="002E695D">
          <w:rPr>
            <w:rFonts w:ascii="Calibri" w:hAnsi="Calibri" w:cs="Calibri"/>
            <w:color w:val="0000FF"/>
            <w:sz w:val="20"/>
            <w:szCs w:val="20"/>
            <w:u w:val="single"/>
          </w:rPr>
          <w:t>SSTS-GOE-NM20092815540 (studsem-goe-lbs.de)</w:t>
        </w:r>
      </w:hyperlink>
      <w:r w:rsidRPr="002E695D">
        <w:rPr>
          <w:rFonts w:ascii="Calibri" w:hAnsi="Calibri" w:cs="Calibri"/>
          <w:sz w:val="20"/>
          <w:szCs w:val="20"/>
        </w:rPr>
        <w:t xml:space="preserve"> (Abruf 15.01.2021)</w:t>
      </w:r>
    </w:p>
  </w:footnote>
  <w:footnote w:id="2">
    <w:p w14:paraId="73094DAD" w14:textId="1474A489" w:rsidR="008A0EF2" w:rsidRPr="002E695D" w:rsidRDefault="008A0EF2" w:rsidP="00B26461">
      <w:pPr>
        <w:pStyle w:val="Funotentext"/>
        <w:spacing w:after="120"/>
        <w:rPr>
          <w:rFonts w:ascii="Calibri" w:hAnsi="Calibri" w:cs="Calibri"/>
        </w:rPr>
      </w:pPr>
      <w:r w:rsidRPr="002E695D">
        <w:rPr>
          <w:rStyle w:val="Funotenzeichen"/>
          <w:rFonts w:ascii="Calibri" w:hAnsi="Calibri" w:cs="Calibri"/>
        </w:rPr>
        <w:footnoteRef/>
      </w:r>
      <w:r w:rsidRPr="002E695D">
        <w:rPr>
          <w:rFonts w:ascii="Calibri" w:hAnsi="Calibri" w:cs="Calibri"/>
        </w:rPr>
        <w:t xml:space="preserve"> Digitaler Werkzeugkoffer. In:</w:t>
      </w:r>
      <w:r w:rsidRPr="002E695D">
        <w:rPr>
          <w:rFonts w:ascii="Calibri" w:hAnsi="Calibri" w:cs="Calibri"/>
        </w:rPr>
        <w:br/>
        <w:t xml:space="preserve">Emmermann, R.; Fastenrath, S.; </w:t>
      </w:r>
      <w:proofErr w:type="spellStart"/>
      <w:r w:rsidRPr="002E695D">
        <w:rPr>
          <w:rFonts w:ascii="Calibri" w:hAnsi="Calibri" w:cs="Calibri"/>
        </w:rPr>
        <w:t>Spalke</w:t>
      </w:r>
      <w:proofErr w:type="spellEnd"/>
      <w:r w:rsidRPr="002E695D">
        <w:rPr>
          <w:rFonts w:ascii="Calibri" w:hAnsi="Calibri" w:cs="Calibri"/>
        </w:rPr>
        <w:t>, T. (2020): Anregungen für das Lernen zu Hause, in: Bildung und Beruf, Ausgabe 5/2020</w:t>
      </w:r>
      <w:r w:rsidRPr="002E695D">
        <w:rPr>
          <w:rFonts w:ascii="Calibri" w:hAnsi="Calibri" w:cs="Calibri"/>
        </w:rPr>
        <w:br/>
      </w:r>
      <w:hyperlink r:id="rId2" w:history="1">
        <w:r w:rsidRPr="002E695D">
          <w:rPr>
            <w:rFonts w:ascii="Calibri" w:hAnsi="Calibri" w:cs="Calibri"/>
            <w:color w:val="0000FF"/>
            <w:u w:val="single"/>
          </w:rPr>
          <w:t>SSTS-GOE-NM20092815460 (studsem-goe-lbs.de)</w:t>
        </w:r>
      </w:hyperlink>
      <w:r w:rsidRPr="002E695D">
        <w:rPr>
          <w:rFonts w:ascii="Calibri" w:hAnsi="Calibri" w:cs="Calibri"/>
        </w:rPr>
        <w:t xml:space="preserve"> (Abruf 15.01.2021)</w:t>
      </w:r>
    </w:p>
  </w:footnote>
  <w:footnote w:id="3">
    <w:p w14:paraId="3D42DD75" w14:textId="1C3FA0EB" w:rsidR="006A0290" w:rsidRPr="00B26461" w:rsidRDefault="006A0290">
      <w:pPr>
        <w:pStyle w:val="Funotentext"/>
      </w:pPr>
      <w:r>
        <w:rPr>
          <w:rStyle w:val="Funotenzeichen"/>
        </w:rPr>
        <w:footnoteRef/>
      </w:r>
      <w:r>
        <w:t xml:space="preserve"> </w:t>
      </w:r>
      <w:r w:rsidR="00B26461">
        <w:t>Materialien, Links, Literatur. In: Digitale Lerntools und Lernplattformen:</w:t>
      </w:r>
      <w:r w:rsidR="00B26461">
        <w:br/>
      </w:r>
      <w:hyperlink r:id="rId3" w:history="1">
        <w:r w:rsidR="00B26461" w:rsidRPr="00B26461">
          <w:rPr>
            <w:color w:val="0000FF"/>
            <w:u w:val="single"/>
          </w:rPr>
          <w:t>Materialien, Links, Literatur - Niedersächsischer Bildungsserver (nibis.de)</w:t>
        </w:r>
      </w:hyperlink>
      <w:r w:rsidR="00B26461" w:rsidRPr="00B26461">
        <w:t xml:space="preserve"> (Abruf 15.01.2021)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D05AA"/>
    <w:multiLevelType w:val="hybridMultilevel"/>
    <w:tmpl w:val="1084F582"/>
    <w:lvl w:ilvl="0" w:tplc="512445F8">
      <w:start w:val="1"/>
      <w:numFmt w:val="bullet"/>
      <w:lvlText w:val=""/>
      <w:lvlJc w:val="righ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CB3D67"/>
    <w:multiLevelType w:val="hybridMultilevel"/>
    <w:tmpl w:val="B406F130"/>
    <w:lvl w:ilvl="0" w:tplc="512445F8">
      <w:start w:val="1"/>
      <w:numFmt w:val="bullet"/>
      <w:lvlText w:val=""/>
      <w:lvlJc w:val="righ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2B7E86"/>
    <w:multiLevelType w:val="hybridMultilevel"/>
    <w:tmpl w:val="6DB67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D555B3"/>
    <w:multiLevelType w:val="hybridMultilevel"/>
    <w:tmpl w:val="1786E7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7724BFD"/>
    <w:multiLevelType w:val="hybridMultilevel"/>
    <w:tmpl w:val="E5B85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DE81B9B"/>
    <w:multiLevelType w:val="hybridMultilevel"/>
    <w:tmpl w:val="96E07E70"/>
    <w:lvl w:ilvl="0" w:tplc="512445F8">
      <w:start w:val="1"/>
      <w:numFmt w:val="bullet"/>
      <w:lvlText w:val=""/>
      <w:lvlJc w:val="righ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4C3245"/>
    <w:multiLevelType w:val="hybridMultilevel"/>
    <w:tmpl w:val="8F6ED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6712D3D"/>
    <w:multiLevelType w:val="hybridMultilevel"/>
    <w:tmpl w:val="6074BC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2"/>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113"/>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E5F"/>
    <w:rsid w:val="00010FC1"/>
    <w:rsid w:val="000547B6"/>
    <w:rsid w:val="0009526A"/>
    <w:rsid w:val="000B72D4"/>
    <w:rsid w:val="000D1C99"/>
    <w:rsid w:val="000D492B"/>
    <w:rsid w:val="000E410D"/>
    <w:rsid w:val="001046E1"/>
    <w:rsid w:val="001056FF"/>
    <w:rsid w:val="00141A54"/>
    <w:rsid w:val="001D0139"/>
    <w:rsid w:val="0024515F"/>
    <w:rsid w:val="00251FAD"/>
    <w:rsid w:val="002A56B9"/>
    <w:rsid w:val="002A6235"/>
    <w:rsid w:val="002B1F66"/>
    <w:rsid w:val="002E695D"/>
    <w:rsid w:val="00330322"/>
    <w:rsid w:val="003574A8"/>
    <w:rsid w:val="00372148"/>
    <w:rsid w:val="0038643D"/>
    <w:rsid w:val="003B1829"/>
    <w:rsid w:val="003C7066"/>
    <w:rsid w:val="003F7AA4"/>
    <w:rsid w:val="0040424A"/>
    <w:rsid w:val="00412DDC"/>
    <w:rsid w:val="00446B78"/>
    <w:rsid w:val="004752D5"/>
    <w:rsid w:val="004945B0"/>
    <w:rsid w:val="004E039E"/>
    <w:rsid w:val="00523D17"/>
    <w:rsid w:val="00577CD0"/>
    <w:rsid w:val="00581F56"/>
    <w:rsid w:val="005D1BC7"/>
    <w:rsid w:val="005E5BA3"/>
    <w:rsid w:val="00611BF4"/>
    <w:rsid w:val="006567B7"/>
    <w:rsid w:val="0066769B"/>
    <w:rsid w:val="00667CCD"/>
    <w:rsid w:val="006734B6"/>
    <w:rsid w:val="006A0290"/>
    <w:rsid w:val="006A0528"/>
    <w:rsid w:val="006B2582"/>
    <w:rsid w:val="006D6005"/>
    <w:rsid w:val="00752D1D"/>
    <w:rsid w:val="0076744C"/>
    <w:rsid w:val="0079627A"/>
    <w:rsid w:val="007A429A"/>
    <w:rsid w:val="007C301A"/>
    <w:rsid w:val="007E6696"/>
    <w:rsid w:val="007F3E29"/>
    <w:rsid w:val="007F4F0E"/>
    <w:rsid w:val="00806341"/>
    <w:rsid w:val="00806466"/>
    <w:rsid w:val="00835B00"/>
    <w:rsid w:val="00843924"/>
    <w:rsid w:val="00860030"/>
    <w:rsid w:val="008644D6"/>
    <w:rsid w:val="00890569"/>
    <w:rsid w:val="008A0EF2"/>
    <w:rsid w:val="008A5E5F"/>
    <w:rsid w:val="008D27ED"/>
    <w:rsid w:val="008D36AD"/>
    <w:rsid w:val="008D5097"/>
    <w:rsid w:val="008E2989"/>
    <w:rsid w:val="008E396A"/>
    <w:rsid w:val="008E6DFB"/>
    <w:rsid w:val="008F4833"/>
    <w:rsid w:val="0090766F"/>
    <w:rsid w:val="00912764"/>
    <w:rsid w:val="009312AB"/>
    <w:rsid w:val="009C7185"/>
    <w:rsid w:val="009D50DA"/>
    <w:rsid w:val="009E3EC8"/>
    <w:rsid w:val="00A13C43"/>
    <w:rsid w:val="00A52B3B"/>
    <w:rsid w:val="00A62DE1"/>
    <w:rsid w:val="00AA0D61"/>
    <w:rsid w:val="00AB2691"/>
    <w:rsid w:val="00AD2CD7"/>
    <w:rsid w:val="00AD7983"/>
    <w:rsid w:val="00B016AF"/>
    <w:rsid w:val="00B107DC"/>
    <w:rsid w:val="00B23A4F"/>
    <w:rsid w:val="00B26461"/>
    <w:rsid w:val="00B33CF8"/>
    <w:rsid w:val="00B63321"/>
    <w:rsid w:val="00B65A71"/>
    <w:rsid w:val="00B77720"/>
    <w:rsid w:val="00B77DDC"/>
    <w:rsid w:val="00B93980"/>
    <w:rsid w:val="00BB3FCA"/>
    <w:rsid w:val="00BC64A0"/>
    <w:rsid w:val="00BF7277"/>
    <w:rsid w:val="00C07C0D"/>
    <w:rsid w:val="00C25BEF"/>
    <w:rsid w:val="00C36B76"/>
    <w:rsid w:val="00C543B8"/>
    <w:rsid w:val="00C572B8"/>
    <w:rsid w:val="00C6368E"/>
    <w:rsid w:val="00C6483A"/>
    <w:rsid w:val="00CA0A08"/>
    <w:rsid w:val="00CA0B57"/>
    <w:rsid w:val="00CC3026"/>
    <w:rsid w:val="00CD6F97"/>
    <w:rsid w:val="00CE09B0"/>
    <w:rsid w:val="00CF451A"/>
    <w:rsid w:val="00D549EC"/>
    <w:rsid w:val="00D630A9"/>
    <w:rsid w:val="00DD4C5D"/>
    <w:rsid w:val="00DD6D34"/>
    <w:rsid w:val="00DE65FA"/>
    <w:rsid w:val="00DF0373"/>
    <w:rsid w:val="00DF0D2A"/>
    <w:rsid w:val="00E018C7"/>
    <w:rsid w:val="00E641FA"/>
    <w:rsid w:val="00E6447B"/>
    <w:rsid w:val="00EB5CF7"/>
    <w:rsid w:val="00EC5E9B"/>
    <w:rsid w:val="00EE5C98"/>
    <w:rsid w:val="00F11382"/>
    <w:rsid w:val="00F11B04"/>
    <w:rsid w:val="00F63C08"/>
    <w:rsid w:val="00F65554"/>
    <w:rsid w:val="00FB4B43"/>
    <w:rsid w:val="00FD64BA"/>
    <w:rsid w:val="00FD6C34"/>
    <w:rsid w:val="00FE6060"/>
    <w:rsid w:val="00FF240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01DF87"/>
  <w15:chartTrackingRefBased/>
  <w15:docId w15:val="{CC533D80-C27D-4F5D-986D-CFE9D86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674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A5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A5E5F"/>
    <w:rPr>
      <w:rFonts w:ascii="Arial" w:hAnsi="Arial"/>
      <w:b/>
      <w:color w:val="FFFFFF" w:themeColor="background1"/>
      <w:sz w:val="28"/>
      <w:u w:val="none"/>
    </w:rPr>
  </w:style>
  <w:style w:type="paragraph" w:styleId="Kopfzeile">
    <w:name w:val="header"/>
    <w:basedOn w:val="Standard"/>
    <w:link w:val="Kopf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KopfzeileZchn">
    <w:name w:val="Kopfzeile Zchn"/>
    <w:basedOn w:val="Absatz-Standardschriftart"/>
    <w:link w:val="Kopfzeile"/>
    <w:uiPriority w:val="99"/>
    <w:rsid w:val="008A5E5F"/>
    <w:rPr>
      <w:rFonts w:eastAsiaTheme="minorEastAsia"/>
      <w:lang w:eastAsia="ja-JP"/>
    </w:rPr>
  </w:style>
  <w:style w:type="paragraph" w:styleId="Fuzeile">
    <w:name w:val="footer"/>
    <w:basedOn w:val="Standard"/>
    <w:link w:val="Fu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FuzeileZchn">
    <w:name w:val="Fußzeile Zchn"/>
    <w:basedOn w:val="Absatz-Standardschriftart"/>
    <w:link w:val="Fuzeile"/>
    <w:uiPriority w:val="99"/>
    <w:rsid w:val="008A5E5F"/>
    <w:rPr>
      <w:rFonts w:eastAsiaTheme="minorEastAsia"/>
      <w:lang w:eastAsia="ja-JP"/>
    </w:rPr>
  </w:style>
  <w:style w:type="paragraph" w:styleId="Sprechblasentext">
    <w:name w:val="Balloon Text"/>
    <w:basedOn w:val="Standard"/>
    <w:link w:val="SprechblasentextZchn"/>
    <w:uiPriority w:val="99"/>
    <w:semiHidden/>
    <w:unhideWhenUsed/>
    <w:rsid w:val="0086003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60030"/>
    <w:rPr>
      <w:rFonts w:ascii="Segoe UI" w:hAnsi="Segoe UI" w:cs="Segoe UI"/>
      <w:sz w:val="18"/>
      <w:szCs w:val="18"/>
    </w:rPr>
  </w:style>
  <w:style w:type="character" w:customStyle="1" w:styleId="UnresolvedMention">
    <w:name w:val="Unresolved Mention"/>
    <w:basedOn w:val="Absatz-Standardschriftart"/>
    <w:uiPriority w:val="99"/>
    <w:semiHidden/>
    <w:unhideWhenUsed/>
    <w:rsid w:val="00B107DC"/>
    <w:rPr>
      <w:color w:val="605E5C"/>
      <w:shd w:val="clear" w:color="auto" w:fill="E1DFDD"/>
    </w:rPr>
  </w:style>
  <w:style w:type="paragraph" w:styleId="Listenabsatz">
    <w:name w:val="List Paragraph"/>
    <w:basedOn w:val="Standard"/>
    <w:uiPriority w:val="34"/>
    <w:qFormat/>
    <w:rsid w:val="00806341"/>
    <w:pPr>
      <w:ind w:left="720"/>
      <w:contextualSpacing/>
    </w:pPr>
  </w:style>
  <w:style w:type="character" w:styleId="BesuchterLink">
    <w:name w:val="FollowedHyperlink"/>
    <w:basedOn w:val="Absatz-Standardschriftart"/>
    <w:uiPriority w:val="99"/>
    <w:semiHidden/>
    <w:unhideWhenUsed/>
    <w:rsid w:val="008D5097"/>
    <w:rPr>
      <w:color w:val="954F72" w:themeColor="followedHyperlink"/>
      <w:u w:val="single"/>
    </w:rPr>
  </w:style>
  <w:style w:type="paragraph" w:styleId="Funotentext">
    <w:name w:val="footnote text"/>
    <w:basedOn w:val="Standard"/>
    <w:link w:val="FunotentextZchn"/>
    <w:uiPriority w:val="99"/>
    <w:semiHidden/>
    <w:unhideWhenUsed/>
    <w:rsid w:val="008A0EF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A0EF2"/>
    <w:rPr>
      <w:sz w:val="20"/>
      <w:szCs w:val="20"/>
    </w:rPr>
  </w:style>
  <w:style w:type="character" w:styleId="Funotenzeichen">
    <w:name w:val="footnote reference"/>
    <w:basedOn w:val="Absatz-Standardschriftart"/>
    <w:uiPriority w:val="99"/>
    <w:semiHidden/>
    <w:unhideWhenUsed/>
    <w:rsid w:val="008A0E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bis.de/nli1/bbs/archiv/rahmenrichtlinien/bg_oeko.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ibis.de/nli1/bbs/archiv/rahmenrichtlinien/fg_praxis.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nibis.de/materialien-links-literatur_2892" TargetMode="External"/><Relationship Id="rId2" Type="http://schemas.openxmlformats.org/officeDocument/2006/relationships/hyperlink" Target="http://studsem-goe-lbs.de/wordpress/wp-content/uploads/2020/09/SSTS-GOE-Anregungen-f%C3%BCr-das-Lernen-zu-Hause.pdf" TargetMode="External"/><Relationship Id="rId1" Type="http://schemas.openxmlformats.org/officeDocument/2006/relationships/hyperlink" Target="http://studsem-goe-lbs.de/wordpress/wp-content/uploads/2020/09/SSTS-GOE-Digital-unterrichten-Gelingensbedingung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369D9-CD8C-41A5-B2DD-6A09E8006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1395</Words>
  <Characters>8793</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IT.Niedersachsen</Company>
  <LinksUpToDate>false</LinksUpToDate>
  <CharactersWithSpaces>10168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Referat 43</dc:creator>
  <cp:keywords/>
  <dc:description/>
  <cp:lastModifiedBy>Due, Annette (NLSCHB)</cp:lastModifiedBy>
  <cp:revision>3</cp:revision>
  <dcterms:created xsi:type="dcterms:W3CDTF">2021-01-19T15:44:00Z</dcterms:created>
  <dcterms:modified xsi:type="dcterms:W3CDTF">2021-01-20T11:11:00Z</dcterms:modified>
</cp:coreProperties>
</file>