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2F665A" w14:textId="77777777" w:rsidR="00275E5A" w:rsidRDefault="007A72F0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Prüfungsschritte Anfechtung</w:t>
      </w:r>
    </w:p>
    <w:p w14:paraId="25766822" w14:textId="77777777" w:rsidR="00275E5A" w:rsidRDefault="00275E5A"/>
    <w:p w14:paraId="4A85A73C" w14:textId="77777777" w:rsidR="00275E5A" w:rsidRDefault="007A72F0">
      <w:r>
        <w:t>I Anspruch Entstanden?</w:t>
      </w:r>
    </w:p>
    <w:p w14:paraId="046D7C32" w14:textId="77777777" w:rsidR="00275E5A" w:rsidRDefault="007A72F0">
      <w:r>
        <w:t>Hier: Prüfung eines wirksamen Vertrages</w:t>
      </w:r>
    </w:p>
    <w:p w14:paraId="77424401" w14:textId="77777777" w:rsidR="00275E5A" w:rsidRDefault="00275E5A"/>
    <w:p w14:paraId="4437E342" w14:textId="77777777" w:rsidR="00275E5A" w:rsidRDefault="007A72F0">
      <w:r>
        <w:t>II Anspruch nachträglich untergegangen?</w:t>
      </w:r>
    </w:p>
    <w:p w14:paraId="2F162F6C" w14:textId="77777777" w:rsidR="00275E5A" w:rsidRDefault="00275E5A"/>
    <w:p w14:paraId="012610EA" w14:textId="77777777" w:rsidR="00275E5A" w:rsidRDefault="007A72F0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Grundsätzlich anfechtbares Rechtsgeschäft</w:t>
      </w:r>
    </w:p>
    <w:p w14:paraId="2C6389D8" w14:textId="77777777" w:rsidR="00275E5A" w:rsidRDefault="007A72F0">
      <w:r>
        <w:t>z.B. Kaufvertrag, Mietvertrag usw. In der Regel können Sie an dieser Stelle auf die Prüfung „I Anspruch entstanden“ verweisen.</w:t>
      </w:r>
    </w:p>
    <w:p w14:paraId="01ABFD17" w14:textId="77777777" w:rsidR="00275E5A" w:rsidRDefault="00275E5A"/>
    <w:p w14:paraId="3E18FD43" w14:textId="77777777" w:rsidR="00275E5A" w:rsidRDefault="007A72F0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Anfechtungsgrund</w:t>
      </w:r>
    </w:p>
    <w:p w14:paraId="5FB8C161" w14:textId="77777777" w:rsidR="00275E5A" w:rsidRDefault="00275E5A"/>
    <w:p w14:paraId="4DDF8AB7" w14:textId="77777777" w:rsidR="00275E5A" w:rsidRDefault="007A72F0">
      <w:pPr>
        <w:pStyle w:val="Default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a) Inhaltsirrtum</w:t>
      </w:r>
    </w:p>
    <w:p w14:paraId="13D97E94" w14:textId="77777777" w:rsidR="00275E5A" w:rsidRDefault="007A72F0">
      <w:pPr>
        <w:pStyle w:val="Defaul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- Irrtum über den Erklärungsinhalt gem. § 119 Abs. 1, 1. Alt. BGB</w:t>
      </w:r>
    </w:p>
    <w:p w14:paraId="19D99D0E" w14:textId="77777777" w:rsidR="00275E5A" w:rsidRDefault="007A72F0">
      <w:pPr>
        <w:pStyle w:val="Defaul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- Irrtum des Erklärenden über den Inhalt der Erklärung</w:t>
      </w:r>
    </w:p>
    <w:p w14:paraId="4C6AD8C8" w14:textId="77777777" w:rsidR="00275E5A" w:rsidRDefault="007A72F0">
      <w:pPr>
        <w:pStyle w:val="Defaul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 xml:space="preserve">- der Erklärende irrt sich beim Inhaltsirrtum nicht über die verwendeten Erklärungszeichen, </w:t>
      </w:r>
      <w:r>
        <w:rPr>
          <w:rFonts w:ascii="Times New Roman" w:hAnsi="Times New Roman"/>
          <w:sz w:val="22"/>
          <w:szCs w:val="22"/>
        </w:rPr>
        <w:tab/>
        <w:t>sondern über deren (tatsächliche) Bedeutung</w:t>
      </w:r>
    </w:p>
    <w:p w14:paraId="3A0B616D" w14:textId="77777777" w:rsidR="00275E5A" w:rsidRDefault="007A72F0">
      <w:pPr>
        <w:pStyle w:val="Default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ab/>
        <w:t>b) Erklärungsirrtum</w:t>
      </w:r>
    </w:p>
    <w:p w14:paraId="61A5543C" w14:textId="77777777" w:rsidR="00275E5A" w:rsidRDefault="007A72F0">
      <w:pPr>
        <w:pStyle w:val="Defaul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- Irrtum über die Erklärungshandlung gem. § 119 Abs. 1, 2. Alt. BGB</w:t>
      </w:r>
    </w:p>
    <w:p w14:paraId="1E9D6022" w14:textId="77777777" w:rsidR="00275E5A" w:rsidRDefault="007A72F0">
      <w:pPr>
        <w:pStyle w:val="Default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ab/>
        <w:t xml:space="preserve">- Irrtum des Erklärenden über die von ihm verwendeten Erklärungszeichen selbst; z.B. sich </w:t>
      </w:r>
      <w:r>
        <w:rPr>
          <w:rFonts w:ascii="Times New Roman" w:hAnsi="Times New Roman"/>
          <w:sz w:val="22"/>
          <w:szCs w:val="22"/>
        </w:rPr>
        <w:tab/>
        <w:t>versprechen oder verschreiben</w:t>
      </w:r>
    </w:p>
    <w:p w14:paraId="167DC621" w14:textId="77777777" w:rsidR="00275E5A" w:rsidRDefault="007A72F0">
      <w:pPr>
        <w:pStyle w:val="Default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b/>
          <w:bCs/>
          <w:sz w:val="22"/>
          <w:szCs w:val="22"/>
        </w:rPr>
        <w:t>c) Eigenschaftsirrtum</w:t>
      </w:r>
    </w:p>
    <w:p w14:paraId="7226A84B" w14:textId="77777777" w:rsidR="00275E5A" w:rsidRDefault="007A72F0">
      <w:pPr>
        <w:pStyle w:val="Default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2"/>
          <w:szCs w:val="22"/>
        </w:rPr>
        <w:tab/>
      </w:r>
      <w:r>
        <w:rPr>
          <w:rFonts w:ascii="Times New Roman" w:hAnsi="Times New Roman"/>
          <w:b/>
          <w:bCs/>
          <w:i/>
          <w:iCs/>
          <w:sz w:val="22"/>
          <w:szCs w:val="22"/>
        </w:rPr>
        <w:t>(1) Eigenschaft</w:t>
      </w:r>
    </w:p>
    <w:p w14:paraId="501329F3" w14:textId="77777777" w:rsidR="00275E5A" w:rsidRDefault="007A72F0">
      <w:pPr>
        <w:pStyle w:val="Defaul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- jede der Person oder Sache unmittelbar anhaftenden Eigenschaft von gewisser Dauer</w:t>
      </w:r>
    </w:p>
    <w:p w14:paraId="0A3D2DEA" w14:textId="77777777" w:rsidR="00275E5A" w:rsidRDefault="007A72F0">
      <w:pPr>
        <w:pStyle w:val="Defaul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 xml:space="preserve">- die Eigenschaft muss von der Person oder Sache selbst ausgehen, al-so ihren Grund in dieser </w:t>
      </w:r>
      <w:r>
        <w:rPr>
          <w:rFonts w:ascii="Times New Roman" w:hAnsi="Times New Roman"/>
          <w:sz w:val="22"/>
          <w:szCs w:val="22"/>
        </w:rPr>
        <w:tab/>
        <w:t>haben</w:t>
      </w:r>
    </w:p>
    <w:p w14:paraId="68172D4B" w14:textId="77777777" w:rsidR="00275E5A" w:rsidRDefault="007A72F0">
      <w:pPr>
        <w:pStyle w:val="Default"/>
        <w:rPr>
          <w:rFonts w:ascii="Times New Roman" w:hAnsi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/>
          <w:b/>
          <w:bCs/>
          <w:i/>
          <w:iCs/>
          <w:sz w:val="22"/>
          <w:szCs w:val="22"/>
        </w:rPr>
        <w:tab/>
        <w:t>(2) Verkehrswesentlichkeit</w:t>
      </w:r>
    </w:p>
    <w:p w14:paraId="5C31746E" w14:textId="77777777" w:rsidR="00275E5A" w:rsidRDefault="007A72F0">
      <w:pPr>
        <w:pStyle w:val="Defaul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- Verkehrswesentlichkeit richtet sich nach dem konkreten Rechtsgeschäft</w:t>
      </w:r>
    </w:p>
    <w:p w14:paraId="704C8629" w14:textId="77777777" w:rsidR="00275E5A" w:rsidRDefault="007A72F0">
      <w:pPr>
        <w:pStyle w:val="Defaul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 xml:space="preserve">- maßgeblich ist, ob die/eine Partei(en) ein Interesse am Vorliegen o-der Nichtvorliegen bestimmter </w:t>
      </w:r>
      <w:r>
        <w:rPr>
          <w:rFonts w:ascii="Times New Roman" w:hAnsi="Times New Roman"/>
          <w:sz w:val="22"/>
          <w:szCs w:val="22"/>
        </w:rPr>
        <w:tab/>
        <w:t>Umstände haben</w:t>
      </w:r>
    </w:p>
    <w:p w14:paraId="42C3C9CE" w14:textId="77777777" w:rsidR="00275E5A" w:rsidRDefault="007A72F0">
      <w:pPr>
        <w:pStyle w:val="Default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ab/>
        <w:t xml:space="preserve">- bei Nichtvorliegen diesbezüglicher konkreter Anhaltspunkte ist die Verkehrsanschauung </w:t>
      </w:r>
      <w:r>
        <w:rPr>
          <w:rFonts w:ascii="Times New Roman" w:hAnsi="Times New Roman"/>
          <w:sz w:val="22"/>
          <w:szCs w:val="22"/>
        </w:rPr>
        <w:tab/>
        <w:t>maßgeblich</w:t>
      </w:r>
    </w:p>
    <w:p w14:paraId="6C21C7DD" w14:textId="77777777" w:rsidR="00275E5A" w:rsidRDefault="007A72F0">
      <w:pPr>
        <w:pStyle w:val="Default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ab/>
        <w:t>d) Fehlerhafte Übermittlung</w:t>
      </w:r>
    </w:p>
    <w:p w14:paraId="66FD55EE" w14:textId="77777777" w:rsidR="00275E5A" w:rsidRDefault="007A72F0">
      <w:pPr>
        <w:pStyle w:val="Defaul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- stellt einen in § 120 BGB speziell geregelten Fall des Erklärungsirrtums dar</w:t>
      </w:r>
    </w:p>
    <w:p w14:paraId="1FD673FD" w14:textId="77777777" w:rsidR="00275E5A" w:rsidRDefault="007A72F0">
      <w:pPr>
        <w:pStyle w:val="Defaul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- die zur Übermittlung eingesetzte Person/Einrichtung übermittelt die Erklärung falsch</w:t>
      </w:r>
    </w:p>
    <w:p w14:paraId="012C734D" w14:textId="77777777" w:rsidR="00275E5A" w:rsidRDefault="007A72F0">
      <w:pPr>
        <w:pStyle w:val="Default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ab/>
        <w:t>- als fehlerhafte Übermittlung gilt auch die Übermittlung an einen falschen Adressaten</w:t>
      </w:r>
    </w:p>
    <w:p w14:paraId="215001E7" w14:textId="77777777" w:rsidR="00275E5A" w:rsidRDefault="007A72F0">
      <w:pPr>
        <w:pStyle w:val="Default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ab/>
        <w:t>e) Arglistige Täuschung</w:t>
      </w:r>
    </w:p>
    <w:p w14:paraId="1565C5DA" w14:textId="77777777" w:rsidR="00275E5A" w:rsidRDefault="007A72F0">
      <w:pPr>
        <w:pStyle w:val="Defaul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die Täuschung kann durch positives Tun oder Unterlassen erfolgen</w:t>
      </w:r>
    </w:p>
    <w:p w14:paraId="7C63ED62" w14:textId="77777777" w:rsidR="00275E5A" w:rsidRDefault="007A72F0">
      <w:pPr>
        <w:pStyle w:val="Default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ab/>
        <w:t xml:space="preserve">- eine Täuschung durch positives Tun stellt insbesondere die ausdrückliche oder konkludente </w:t>
      </w:r>
      <w:r>
        <w:rPr>
          <w:rFonts w:ascii="Times New Roman" w:hAnsi="Times New Roman"/>
          <w:sz w:val="22"/>
          <w:szCs w:val="22"/>
        </w:rPr>
        <w:tab/>
        <w:t>Behauptung bzw. Vorspieglung unwahrer Tatsachen dar</w:t>
      </w:r>
    </w:p>
    <w:p w14:paraId="2096BF1A" w14:textId="77777777" w:rsidR="00275E5A" w:rsidRDefault="007A72F0">
      <w:pPr>
        <w:pStyle w:val="Default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ab/>
        <w:t xml:space="preserve">- eine Täuschung durch Unterlassen ist nur relevant, sofern eine Pflicht zur Offenbarung nach Treu </w:t>
      </w:r>
      <w:r>
        <w:rPr>
          <w:rFonts w:ascii="Times New Roman" w:hAnsi="Times New Roman"/>
          <w:sz w:val="22"/>
          <w:szCs w:val="22"/>
        </w:rPr>
        <w:tab/>
        <w:t>und Glauben (§ 242 BGB) besteht;</w:t>
      </w:r>
      <w:r>
        <w:rPr>
          <w:rFonts w:ascii="Times New Roman" w:hAnsi="Times New Roman"/>
          <w:sz w:val="14"/>
          <w:szCs w:val="14"/>
        </w:rPr>
        <w:t xml:space="preserve">68 </w:t>
      </w:r>
      <w:r>
        <w:rPr>
          <w:rFonts w:ascii="Times New Roman" w:hAnsi="Times New Roman"/>
          <w:sz w:val="22"/>
          <w:szCs w:val="22"/>
        </w:rPr>
        <w:t>dies ist insbesondere Fall wenn:</w:t>
      </w:r>
    </w:p>
    <w:p w14:paraId="522E194B" w14:textId="77777777" w:rsidR="00275E5A" w:rsidRDefault="007A72F0">
      <w:pPr>
        <w:pStyle w:val="Defaul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- der andere Teil konkrete Nachfragen stellt</w:t>
      </w:r>
    </w:p>
    <w:p w14:paraId="4D8D2BB6" w14:textId="77777777" w:rsidR="00275E5A" w:rsidRDefault="007A72F0">
      <w:pPr>
        <w:pStyle w:val="Defaul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 xml:space="preserve">- es sich bei den zu offenbarenden Tatsachen um für die Willensbildung des anderen wichtige </w:t>
      </w:r>
      <w:r>
        <w:rPr>
          <w:rFonts w:ascii="Times New Roman" w:hAnsi="Times New Roman"/>
          <w:sz w:val="22"/>
          <w:szCs w:val="22"/>
        </w:rPr>
        <w:tab/>
        <w:t>Umstände handelt</w:t>
      </w:r>
    </w:p>
    <w:p w14:paraId="3BD2BA50" w14:textId="77777777" w:rsidR="00275E5A" w:rsidRDefault="007A72F0">
      <w:pPr>
        <w:pStyle w:val="Default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ab/>
        <w:t>- zwischen den Parteien ein besonderes Vertrauensverhältnis besteht</w:t>
      </w:r>
    </w:p>
    <w:p w14:paraId="1E4256B2" w14:textId="77777777" w:rsidR="00275E5A" w:rsidRDefault="007A72F0">
      <w:pPr>
        <w:pStyle w:val="Default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ab/>
        <w:t>f) Widerrechtliche Drohung</w:t>
      </w:r>
    </w:p>
    <w:p w14:paraId="7204B703" w14:textId="77777777" w:rsidR="00275E5A" w:rsidRDefault="007A72F0">
      <w:pPr>
        <w:pStyle w:val="Default"/>
        <w:rPr>
          <w:rFonts w:ascii="Times New Roman" w:hAnsi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/>
          <w:b/>
          <w:bCs/>
          <w:i/>
          <w:iCs/>
          <w:sz w:val="22"/>
          <w:szCs w:val="22"/>
        </w:rPr>
        <w:tab/>
        <w:t>(1) Drohung</w:t>
      </w:r>
    </w:p>
    <w:p w14:paraId="39EDF1D1" w14:textId="77777777" w:rsidR="00275E5A" w:rsidRDefault="007A72F0">
      <w:pPr>
        <w:pStyle w:val="Defaul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 xml:space="preserve">- Drohung ist das Inaussichtstellen eines empfindlichen Übels, auf das der Drohende Einfluss zu </w:t>
      </w:r>
      <w:r>
        <w:rPr>
          <w:rFonts w:ascii="Times New Roman" w:hAnsi="Times New Roman"/>
          <w:sz w:val="22"/>
          <w:szCs w:val="22"/>
        </w:rPr>
        <w:tab/>
        <w:t>haben, vorgibt</w:t>
      </w:r>
    </w:p>
    <w:p w14:paraId="78629EFD" w14:textId="77777777" w:rsidR="00275E5A" w:rsidRDefault="007A72F0">
      <w:pPr>
        <w:pStyle w:val="Default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- das angedrohte Übel kann materieller oder ideeller Natur sein</w:t>
      </w:r>
    </w:p>
    <w:p w14:paraId="7A7A355C" w14:textId="77777777" w:rsidR="00275E5A" w:rsidRDefault="007A72F0">
      <w:pPr>
        <w:pStyle w:val="Default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b/>
          <w:bCs/>
        </w:rPr>
        <w:t>3.  Anfechtungserklärung</w:t>
      </w:r>
    </w:p>
    <w:p w14:paraId="3D5E0887" w14:textId="77777777" w:rsidR="00275E5A" w:rsidRDefault="007A72F0">
      <w:pPr>
        <w:pStyle w:val="Default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lastRenderedPageBreak/>
        <w:tab/>
        <w:t>- Anfechtung muss gem. § 143 Abs. 1 BGB erklärt werden</w:t>
      </w:r>
    </w:p>
    <w:p w14:paraId="5B79F17E" w14:textId="77777777" w:rsidR="00275E5A" w:rsidRDefault="007A72F0">
      <w:pPr>
        <w:pStyle w:val="Default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b/>
          <w:bCs/>
          <w:sz w:val="22"/>
          <w:szCs w:val="22"/>
        </w:rPr>
        <w:t>a) Richtiger Anfechtungsgegner</w:t>
      </w:r>
    </w:p>
    <w:p w14:paraId="70324F6E" w14:textId="77777777" w:rsidR="00275E5A" w:rsidRDefault="007A72F0">
      <w:pPr>
        <w:pStyle w:val="Default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ab/>
        <w:t>- bestimmt sich nach § 143 Abs. 2 – 4 BGB</w:t>
      </w:r>
    </w:p>
    <w:p w14:paraId="551E14F0" w14:textId="77777777" w:rsidR="00275E5A" w:rsidRDefault="007A72F0">
      <w:pPr>
        <w:pStyle w:val="Default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b/>
          <w:bCs/>
          <w:sz w:val="22"/>
          <w:szCs w:val="22"/>
        </w:rPr>
        <w:t>b) Anfechtungswille</w:t>
      </w:r>
    </w:p>
    <w:p w14:paraId="7E161D44" w14:textId="77777777" w:rsidR="00275E5A" w:rsidRDefault="007A72F0">
      <w:pPr>
        <w:pStyle w:val="Defaul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 xml:space="preserve">- die Erklärung muss deutlich machen, dass der Anfechtende das Rechtsgeschäft nicht gelten lassen </w:t>
      </w:r>
      <w:r>
        <w:rPr>
          <w:rFonts w:ascii="Times New Roman" w:hAnsi="Times New Roman"/>
          <w:sz w:val="22"/>
          <w:szCs w:val="22"/>
        </w:rPr>
        <w:tab/>
        <w:t>will</w:t>
      </w:r>
    </w:p>
    <w:p w14:paraId="316DB0FD" w14:textId="77777777" w:rsidR="00275E5A" w:rsidRDefault="007A72F0">
      <w:pPr>
        <w:pStyle w:val="Default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ab/>
        <w:t>- Wortlaut „Anfechtung/anfechten“ ist nicht erforderlich</w:t>
      </w:r>
    </w:p>
    <w:p w14:paraId="582BBA57" w14:textId="77777777" w:rsidR="00275E5A" w:rsidRDefault="007A72F0">
      <w:pPr>
        <w:pStyle w:val="Default"/>
        <w:spacing w:line="360" w:lineRule="auto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ab/>
      </w:r>
      <w:r>
        <w:rPr>
          <w:rFonts w:ascii="Times New Roman" w:hAnsi="Times New Roman"/>
          <w:b/>
          <w:bCs/>
        </w:rPr>
        <w:t>4. Anfechtungsfrist</w:t>
      </w:r>
    </w:p>
    <w:p w14:paraId="2098930B" w14:textId="77777777" w:rsidR="00275E5A" w:rsidRDefault="007A72F0">
      <w:pPr>
        <w:pStyle w:val="Default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ab/>
        <w:t>a) Unverzüglich</w:t>
      </w:r>
    </w:p>
    <w:p w14:paraId="184DD501" w14:textId="77777777" w:rsidR="00275E5A" w:rsidRDefault="007A72F0">
      <w:pPr>
        <w:pStyle w:val="Default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ab/>
        <w:t xml:space="preserve">- die Anfechtung wegen Irrtums (§ 119 BGB) und falscher Übermittlung (§ 120 BGB) muss gem. § </w:t>
      </w:r>
      <w:r>
        <w:rPr>
          <w:rFonts w:ascii="Times New Roman" w:hAnsi="Times New Roman"/>
          <w:sz w:val="22"/>
          <w:szCs w:val="22"/>
        </w:rPr>
        <w:tab/>
        <w:t>121 BGB unverzüglich erfolgen</w:t>
      </w:r>
    </w:p>
    <w:p w14:paraId="7CF15031" w14:textId="77777777" w:rsidR="00275E5A" w:rsidRDefault="007A72F0">
      <w:pPr>
        <w:pStyle w:val="Default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ab/>
        <w:t xml:space="preserve">- =&gt; sobald der Anfechtungsberechtigte von Umständen Kenntnis erlangt die zur Anfechtung </w:t>
      </w:r>
      <w:r>
        <w:rPr>
          <w:rFonts w:ascii="Times New Roman" w:hAnsi="Times New Roman"/>
          <w:sz w:val="22"/>
          <w:szCs w:val="22"/>
        </w:rPr>
        <w:tab/>
        <w:t xml:space="preserve">berechtigen, muss er – gemessen an den Umständen – schnellstmöglich (nicht jedoch sofort) </w:t>
      </w:r>
      <w:r>
        <w:rPr>
          <w:rFonts w:ascii="Times New Roman" w:hAnsi="Times New Roman"/>
          <w:sz w:val="22"/>
          <w:szCs w:val="22"/>
        </w:rPr>
        <w:tab/>
        <w:t>anfechten</w:t>
      </w:r>
    </w:p>
    <w:p w14:paraId="509E56EB" w14:textId="77777777" w:rsidR="00275E5A" w:rsidRDefault="007A72F0">
      <w:pPr>
        <w:pStyle w:val="Defaul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 xml:space="preserve">- nach dem Ablauf von 10 Jahren seit der Abgebe der Erklärung ist die Anfechtbarkeit gem. § 121 </w:t>
      </w:r>
      <w:r>
        <w:rPr>
          <w:rFonts w:ascii="Times New Roman" w:hAnsi="Times New Roman"/>
          <w:sz w:val="22"/>
          <w:szCs w:val="22"/>
        </w:rPr>
        <w:tab/>
        <w:t>Abs. 2 BGB endgültig ausgeschlossen</w:t>
      </w:r>
    </w:p>
    <w:p w14:paraId="65795D98" w14:textId="77777777" w:rsidR="00275E5A" w:rsidRDefault="007A72F0">
      <w:pPr>
        <w:pStyle w:val="Default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ab/>
        <w:t>b) Binnen Jahresfrist</w:t>
      </w:r>
    </w:p>
    <w:p w14:paraId="7C088375" w14:textId="77777777" w:rsidR="00275E5A" w:rsidRDefault="007A72F0">
      <w:pPr>
        <w:pStyle w:val="Default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ab/>
        <w:t xml:space="preserve">- die Anfechtung wegen Täuschung oder Drohung muss gem. § 124 BGB innerhalb eines Jahres </w:t>
      </w:r>
      <w:r>
        <w:rPr>
          <w:rFonts w:ascii="Times New Roman" w:hAnsi="Times New Roman"/>
          <w:sz w:val="22"/>
          <w:szCs w:val="22"/>
        </w:rPr>
        <w:tab/>
        <w:t>erfolgen</w:t>
      </w:r>
    </w:p>
    <w:p w14:paraId="6DA80747" w14:textId="77777777" w:rsidR="00275E5A" w:rsidRDefault="007A72F0">
      <w:pPr>
        <w:pStyle w:val="Default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ab/>
        <w:t xml:space="preserve">- =&gt; sobald der Anfechtungsberechtigte von Umständen Kenntnis erlangt die zur Anfechtung </w:t>
      </w:r>
      <w:r>
        <w:rPr>
          <w:rFonts w:ascii="Times New Roman" w:hAnsi="Times New Roman"/>
          <w:sz w:val="22"/>
          <w:szCs w:val="22"/>
        </w:rPr>
        <w:tab/>
        <w:t>berechtigen, muss er innerhalb eines Jahres die Anfechtung erklären</w:t>
      </w:r>
    </w:p>
    <w:p w14:paraId="622C1EA9" w14:textId="77777777" w:rsidR="00275E5A" w:rsidRDefault="007A72F0">
      <w:pPr>
        <w:pStyle w:val="Default"/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Rechtsfolge: Das Rechtsgeschäft ist von Anfang an nichtig gem. §142 Abs. 1 BGB</w:t>
      </w:r>
    </w:p>
    <w:sectPr w:rsidR="00275E5A">
      <w:headerReference w:type="default" r:id="rId7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EE062" w14:textId="77777777" w:rsidR="00030DE0" w:rsidRDefault="00030DE0">
      <w:r>
        <w:separator/>
      </w:r>
    </w:p>
  </w:endnote>
  <w:endnote w:type="continuationSeparator" w:id="0">
    <w:p w14:paraId="2B025B52" w14:textId="77777777" w:rsidR="00030DE0" w:rsidRDefault="0003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, Calibri">
    <w:altName w:val="Arial"/>
    <w:charset w:val="00"/>
    <w:family w:val="swiss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1A6E6A" w14:textId="77777777" w:rsidR="00030DE0" w:rsidRDefault="00030DE0">
      <w:r>
        <w:rPr>
          <w:color w:val="000000"/>
        </w:rPr>
        <w:separator/>
      </w:r>
    </w:p>
  </w:footnote>
  <w:footnote w:type="continuationSeparator" w:id="0">
    <w:p w14:paraId="1C76AEE8" w14:textId="77777777" w:rsidR="00030DE0" w:rsidRDefault="00030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3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968"/>
      <w:gridCol w:w="3457"/>
      <w:gridCol w:w="3213"/>
    </w:tblGrid>
    <w:tr w:rsidR="00C26D81" w14:paraId="2E27F47B" w14:textId="77777777">
      <w:tc>
        <w:tcPr>
          <w:tcW w:w="2968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4BBE9A0E" w14:textId="77777777" w:rsidR="00C11639" w:rsidRDefault="00C11639" w:rsidP="00C11639">
          <w:pPr>
            <w:pStyle w:val="TableContents"/>
          </w:pPr>
          <w:r>
            <w:t>Klasse:</w:t>
          </w:r>
        </w:p>
        <w:p w14:paraId="73FE757E" w14:textId="6A28D723" w:rsidR="00C26D81" w:rsidRDefault="00C11639" w:rsidP="00C11639">
          <w:pPr>
            <w:pStyle w:val="TableContents"/>
          </w:pPr>
          <w:r>
            <w:t>Datum:</w:t>
          </w:r>
        </w:p>
      </w:tc>
      <w:tc>
        <w:tcPr>
          <w:tcW w:w="345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03EE5F4F" w14:textId="77777777" w:rsidR="00C26D81" w:rsidRDefault="007A72F0">
          <w:pPr>
            <w:pStyle w:val="TableContents"/>
          </w:pPr>
          <w:r>
            <w:t>Prüfungsschema: Anfechtung</w:t>
          </w:r>
        </w:p>
      </w:tc>
      <w:tc>
        <w:tcPr>
          <w:tcW w:w="321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0A245044" w14:textId="0519D9A1" w:rsidR="00C26D81" w:rsidRDefault="00030DE0">
          <w:pPr>
            <w:pStyle w:val="TableContents"/>
          </w:pPr>
        </w:p>
      </w:tc>
    </w:tr>
  </w:tbl>
  <w:p w14:paraId="4DDAD9DD" w14:textId="77777777" w:rsidR="00C26D81" w:rsidRDefault="00030DE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EB64C7"/>
    <w:multiLevelType w:val="multilevel"/>
    <w:tmpl w:val="EC6203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E5A"/>
    <w:rsid w:val="00030DE0"/>
    <w:rsid w:val="00275E5A"/>
    <w:rsid w:val="00562EBD"/>
    <w:rsid w:val="007A72F0"/>
    <w:rsid w:val="00C1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684C4"/>
  <w15:docId w15:val="{FF1B134D-AE0D-42C7-A972-A393BF575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Mangal"/>
        <w:kern w:val="3"/>
        <w:sz w:val="24"/>
        <w:szCs w:val="24"/>
        <w:lang w:val="de-DE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ascii="Calibri, Calibri" w:eastAsia="Calibri, Calibri" w:hAnsi="Calibri, Calibri" w:cs="Calibri, Calibri"/>
      <w:color w:val="000000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Fuzeile">
    <w:name w:val="footer"/>
    <w:basedOn w:val="Standard"/>
    <w:link w:val="FuzeileZchn"/>
    <w:uiPriority w:val="99"/>
    <w:unhideWhenUsed/>
    <w:rsid w:val="00C11639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C11639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 Sandalgi-Bauer</dc:creator>
  <cp:lastModifiedBy>Martin Bauer</cp:lastModifiedBy>
  <cp:revision>2</cp:revision>
  <dcterms:created xsi:type="dcterms:W3CDTF">2021-01-22T14:34:00Z</dcterms:created>
  <dcterms:modified xsi:type="dcterms:W3CDTF">2021-01-22T14:34:00Z</dcterms:modified>
</cp:coreProperties>
</file>