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90758" w14:textId="77777777" w:rsidR="00DF0B7E" w:rsidRPr="00F25FFD" w:rsidRDefault="00360DBB">
      <w:pPr>
        <w:pStyle w:val="Default"/>
        <w:numPr>
          <w:ilvl w:val="0"/>
          <w:numId w:val="1"/>
        </w:numPr>
        <w:rPr>
          <w:rFonts w:ascii="Arial" w:hAnsi="Arial"/>
          <w:b/>
          <w:bCs/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Anspruch entstanden</w:t>
      </w:r>
    </w:p>
    <w:p w14:paraId="35EB9A21" w14:textId="77777777" w:rsidR="00DF0B7E" w:rsidRPr="00F25FFD" w:rsidRDefault="00DF0B7E">
      <w:pPr>
        <w:pStyle w:val="Default"/>
        <w:rPr>
          <w:rFonts w:ascii="Arial" w:hAnsi="Arial"/>
          <w:b/>
          <w:bCs/>
          <w:sz w:val="23"/>
          <w:szCs w:val="23"/>
        </w:rPr>
      </w:pPr>
    </w:p>
    <w:p w14:paraId="2A84B1B1" w14:textId="77777777" w:rsidR="00DF0B7E" w:rsidRPr="00F25FFD" w:rsidRDefault="00360DBB">
      <w:pPr>
        <w:pStyle w:val="Default"/>
        <w:numPr>
          <w:ilvl w:val="0"/>
          <w:numId w:val="2"/>
        </w:numPr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vertragliche Einigung</w:t>
      </w:r>
    </w:p>
    <w:p w14:paraId="3FA194A3" w14:textId="055D47E5" w:rsidR="00DF0B7E" w:rsidRPr="00F25FFD" w:rsidRDefault="00360DBB">
      <w:pPr>
        <w:pStyle w:val="Default"/>
        <w:numPr>
          <w:ilvl w:val="0"/>
          <w:numId w:val="2"/>
        </w:numPr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keine Unwirksamkeit der vertraglichen Einigung/des Vertrags aufgrund von:</w:t>
      </w:r>
      <w:r w:rsidR="00F25FFD" w:rsidRPr="00F25FFD">
        <w:rPr>
          <w:rFonts w:ascii="Arial" w:hAnsi="Arial"/>
          <w:sz w:val="23"/>
          <w:szCs w:val="23"/>
        </w:rPr>
        <w:t xml:space="preserve">   </w:t>
      </w:r>
    </w:p>
    <w:p w14:paraId="669BDEF3" w14:textId="77777777" w:rsidR="00F25FFD" w:rsidRPr="00F25FFD" w:rsidRDefault="00F25FFD" w:rsidP="00F25FFD">
      <w:pPr>
        <w:pStyle w:val="Default"/>
        <w:ind w:left="720"/>
        <w:rPr>
          <w:rFonts w:ascii="Arial" w:hAnsi="Arial"/>
          <w:sz w:val="23"/>
          <w:szCs w:val="23"/>
        </w:rPr>
      </w:pPr>
    </w:p>
    <w:p w14:paraId="4BA9802D" w14:textId="7EF0667A" w:rsidR="00DF0B7E" w:rsidRPr="00F25FFD" w:rsidRDefault="00360DBB" w:rsidP="00F25FFD">
      <w:pPr>
        <w:pStyle w:val="Default"/>
        <w:numPr>
          <w:ilvl w:val="0"/>
          <w:numId w:val="3"/>
        </w:numPr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Mangel in der Stellvertretung (§ 164 ff)</w:t>
      </w:r>
    </w:p>
    <w:p w14:paraId="40A70FCC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6415C998" w14:textId="77777777" w:rsidR="00DF0B7E" w:rsidRPr="00F25FFD" w:rsidRDefault="00360DBB">
      <w:pPr>
        <w:pStyle w:val="Default"/>
        <w:rPr>
          <w:rFonts w:ascii="Arial" w:hAnsi="Arial"/>
          <w:b/>
          <w:bCs/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 xml:space="preserve">        II Anspruch untergegangen?</w:t>
      </w:r>
    </w:p>
    <w:p w14:paraId="32E3A6CF" w14:textId="77777777" w:rsidR="00DF0B7E" w:rsidRPr="00F25FFD" w:rsidRDefault="00360DBB">
      <w:pPr>
        <w:pStyle w:val="Default"/>
        <w:rPr>
          <w:rFonts w:ascii="Arial" w:hAnsi="Arial"/>
          <w:b/>
          <w:bCs/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 xml:space="preserve">       III Anspruch durchsetzbar?</w:t>
      </w:r>
    </w:p>
    <w:p w14:paraId="62831DD3" w14:textId="77777777" w:rsidR="00DF0B7E" w:rsidRPr="00F25FFD" w:rsidRDefault="00DF0B7E">
      <w:pPr>
        <w:pStyle w:val="Default"/>
        <w:rPr>
          <w:rFonts w:ascii="Arial" w:hAnsi="Arial"/>
          <w:b/>
          <w:bCs/>
          <w:sz w:val="23"/>
          <w:szCs w:val="23"/>
        </w:rPr>
      </w:pPr>
    </w:p>
    <w:p w14:paraId="5B1C248E" w14:textId="77777777" w:rsidR="00DF0B7E" w:rsidRPr="00F25FFD" w:rsidRDefault="00DF0B7E">
      <w:pPr>
        <w:pStyle w:val="Default"/>
        <w:rPr>
          <w:rFonts w:ascii="Arial" w:hAnsi="Arial"/>
          <w:b/>
          <w:bCs/>
          <w:sz w:val="23"/>
          <w:szCs w:val="23"/>
        </w:rPr>
      </w:pPr>
    </w:p>
    <w:p w14:paraId="37A753A2" w14:textId="0AD41B3B" w:rsidR="00DF0B7E" w:rsidRPr="00F25FFD" w:rsidRDefault="00360DBB">
      <w:pPr>
        <w:pStyle w:val="Default"/>
        <w:rPr>
          <w:rFonts w:ascii="Arial" w:hAnsi="Arial"/>
          <w:b/>
          <w:bCs/>
          <w:sz w:val="23"/>
          <w:szCs w:val="23"/>
          <w:u w:val="single"/>
        </w:rPr>
      </w:pPr>
      <w:r w:rsidRPr="00F25FFD">
        <w:rPr>
          <w:rFonts w:ascii="Arial" w:hAnsi="Arial"/>
          <w:b/>
          <w:bCs/>
          <w:sz w:val="23"/>
          <w:szCs w:val="23"/>
          <w:u w:val="single"/>
        </w:rPr>
        <w:t>Schema 1:</w:t>
      </w:r>
      <w:r w:rsidR="00F25FFD" w:rsidRPr="00F25FFD">
        <w:rPr>
          <w:rFonts w:ascii="Arial" w:hAnsi="Arial"/>
          <w:b/>
          <w:bCs/>
          <w:sz w:val="23"/>
          <w:szCs w:val="23"/>
          <w:u w:val="single"/>
        </w:rPr>
        <w:t xml:space="preserve"> </w:t>
      </w:r>
      <w:r w:rsidRPr="00F25FFD">
        <w:rPr>
          <w:rFonts w:ascii="Arial" w:hAnsi="Arial"/>
          <w:b/>
          <w:bCs/>
          <w:sz w:val="23"/>
          <w:szCs w:val="23"/>
          <w:u w:val="single"/>
        </w:rPr>
        <w:t>Zustandekommen einer vertraglichen Einigung</w:t>
      </w:r>
    </w:p>
    <w:p w14:paraId="294051F5" w14:textId="77777777" w:rsidR="00DF0B7E" w:rsidRPr="00F25FFD" w:rsidRDefault="00DF0B7E">
      <w:pPr>
        <w:pStyle w:val="Default"/>
        <w:rPr>
          <w:rFonts w:ascii="Arial" w:hAnsi="Arial"/>
          <w:b/>
          <w:bCs/>
          <w:sz w:val="23"/>
          <w:szCs w:val="23"/>
          <w:u w:val="single"/>
        </w:rPr>
      </w:pPr>
    </w:p>
    <w:p w14:paraId="2394F142" w14:textId="77777777" w:rsidR="00DF0B7E" w:rsidRPr="00F25FFD" w:rsidRDefault="00360DBB">
      <w:pPr>
        <w:pStyle w:val="Default"/>
        <w:rPr>
          <w:rFonts w:ascii="Arial" w:hAnsi="Arial"/>
          <w:b/>
          <w:bCs/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1. Angebot</w:t>
      </w:r>
    </w:p>
    <w:p w14:paraId="23F82EDF" w14:textId="77777777" w:rsidR="00DF0B7E" w:rsidRPr="00F25FFD" w:rsidRDefault="00DF0B7E">
      <w:pPr>
        <w:pStyle w:val="Default"/>
        <w:rPr>
          <w:rFonts w:ascii="Arial" w:hAnsi="Arial"/>
          <w:b/>
          <w:bCs/>
          <w:sz w:val="23"/>
          <w:szCs w:val="23"/>
        </w:rPr>
      </w:pPr>
    </w:p>
    <w:p w14:paraId="032AD5D7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a) Willenserklärung des Antragenden</w:t>
      </w:r>
    </w:p>
    <w:p w14:paraId="1D5A4EC2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i/>
          <w:iCs/>
          <w:sz w:val="23"/>
          <w:szCs w:val="23"/>
        </w:rPr>
        <w:t>(1) Objektiver Erklärungstatbestand</w:t>
      </w:r>
    </w:p>
    <w:p w14:paraId="2C8C1E0E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Erklärungshandlung = objektives Verhalten (Tun oder Unterlassen)</w:t>
      </w:r>
    </w:p>
    <w:p w14:paraId="1669C4B2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i/>
          <w:iCs/>
          <w:sz w:val="23"/>
          <w:szCs w:val="23"/>
        </w:rPr>
        <w:t>(2) Subjektiver Erklärungstatbestand</w:t>
      </w:r>
    </w:p>
    <w:p w14:paraId="72ABB0AF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3FA6297A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  <w:u w:val="single"/>
        </w:rPr>
        <w:t>Handlungswille</w:t>
      </w:r>
      <w:r w:rsidRPr="00F25FFD">
        <w:rPr>
          <w:rFonts w:ascii="Arial" w:hAnsi="Arial"/>
          <w:sz w:val="23"/>
          <w:szCs w:val="23"/>
        </w:rPr>
        <w:t xml:space="preserve"> = willentliches Handeln des Erklärenden in Abgrenzung zu reinen (nicht willensgesteuerten) Reflexhandlungen, Handlungen durch absoluten (!) Zwang oder Handlungen im Schlaf</w:t>
      </w:r>
    </w:p>
    <w:p w14:paraId="6492098E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51857D6D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 xml:space="preserve">- </w:t>
      </w:r>
      <w:r w:rsidRPr="00F25FFD">
        <w:rPr>
          <w:rFonts w:ascii="Arial" w:hAnsi="Arial"/>
          <w:b/>
          <w:bCs/>
          <w:sz w:val="23"/>
          <w:szCs w:val="23"/>
          <w:u w:val="single"/>
        </w:rPr>
        <w:t xml:space="preserve">Erklärungswille/-bewusstsein </w:t>
      </w:r>
      <w:r w:rsidRPr="00F25FFD">
        <w:rPr>
          <w:rFonts w:ascii="Arial" w:hAnsi="Arial"/>
          <w:sz w:val="23"/>
          <w:szCs w:val="23"/>
        </w:rPr>
        <w:t xml:space="preserve">= das Bewusstsein des Erklärenden, überhaupt rechtsgeschäftlich zu handeln, also Rechtsfolgen mit seinem Handeln hervorzurufen- ein Fehlen des Erklärungswillens führt dabei nach der </w:t>
      </w:r>
      <w:proofErr w:type="spellStart"/>
      <w:r w:rsidRPr="00F25FFD">
        <w:rPr>
          <w:rFonts w:ascii="Arial" w:hAnsi="Arial"/>
          <w:sz w:val="23"/>
          <w:szCs w:val="23"/>
        </w:rPr>
        <w:t>h.M</w:t>
      </w:r>
      <w:proofErr w:type="spellEnd"/>
      <w:r w:rsidRPr="00F25FFD">
        <w:rPr>
          <w:rFonts w:ascii="Arial" w:hAnsi="Arial"/>
          <w:sz w:val="23"/>
          <w:szCs w:val="23"/>
        </w:rPr>
        <w:t>. nicht zur Unwirksamkeit, sondern lediglich zur Anfechtbarkeit der Erklärung (Argument: Schutz des Vertrauens des Rechtsverkehrs auf das Vorliegen einer wirksamen Erklärung)</w:t>
      </w:r>
    </w:p>
    <w:p w14:paraId="0929AD92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1EF46DE4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 xml:space="preserve">- </w:t>
      </w:r>
      <w:r w:rsidRPr="00F25FFD">
        <w:rPr>
          <w:rFonts w:ascii="Arial" w:hAnsi="Arial"/>
          <w:b/>
          <w:bCs/>
          <w:sz w:val="23"/>
          <w:szCs w:val="23"/>
          <w:u w:val="single"/>
        </w:rPr>
        <w:t>Geschäftswille</w:t>
      </w:r>
      <w:r w:rsidRPr="00F25FFD">
        <w:rPr>
          <w:rFonts w:ascii="Arial" w:hAnsi="Arial"/>
          <w:b/>
          <w:bCs/>
          <w:sz w:val="23"/>
          <w:szCs w:val="23"/>
        </w:rPr>
        <w:t xml:space="preserve"> </w:t>
      </w:r>
      <w:r w:rsidRPr="00F25FFD">
        <w:rPr>
          <w:rFonts w:ascii="Arial" w:hAnsi="Arial"/>
          <w:sz w:val="23"/>
          <w:szCs w:val="23"/>
        </w:rPr>
        <w:t>= der Wille, mit der Erklärung einen ganz bestimmten rechtsgeschäftlichen Erfolg hervorzurufen - Fehler im Bereich des Geschäftswillens führen nicht zur Nichtigkeit, sondern zur Anfechtbarkeit der Erklärung</w:t>
      </w:r>
    </w:p>
    <w:p w14:paraId="222891FB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09750EF9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b) Abgabe der Erklärung</w:t>
      </w:r>
    </w:p>
    <w:p w14:paraId="6ACC1031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die Willenserklärung muss vom Erklärenden abgegeben, also von ihm willentlich in den Verkehr gebracht worden sein.</w:t>
      </w:r>
    </w:p>
    <w:p w14:paraId="3196084F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63C996BD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c) Zugang der Erklärung</w:t>
      </w:r>
    </w:p>
    <w:p w14:paraId="47A8BAE9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die Willenserklärung muss dem Erklärungsempfänger zugegangen sein (vgl. auch § 130 Abs. 1 Satz 1 BGB)</w:t>
      </w:r>
    </w:p>
    <w:p w14:paraId="2F1745DA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 xml:space="preserve">- zu unterscheiden ist zwischen Erklärungen gegenüber Anwesenden und gegenüber Abwesenden. Bei Erklärungen gegenüber </w:t>
      </w:r>
      <w:r w:rsidRPr="00F25FFD">
        <w:rPr>
          <w:rFonts w:ascii="Arial" w:hAnsi="Arial"/>
          <w:b/>
          <w:bCs/>
          <w:sz w:val="23"/>
          <w:szCs w:val="23"/>
          <w:u w:val="single"/>
        </w:rPr>
        <w:t>Anwesenden</w:t>
      </w:r>
      <w:r w:rsidRPr="00F25FFD">
        <w:rPr>
          <w:rFonts w:ascii="Arial" w:hAnsi="Arial"/>
          <w:sz w:val="23"/>
          <w:szCs w:val="23"/>
        </w:rPr>
        <w:t xml:space="preserve"> liegt Zugang vor, wenn der Empfänger die Erklärung akustisch tatsächlich vernimmt oder tatsächlich ausgehändigt bekommt.</w:t>
      </w:r>
    </w:p>
    <w:p w14:paraId="2ADF816E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 xml:space="preserve">Bei Erklärungen gegenüber </w:t>
      </w:r>
      <w:r w:rsidRPr="00F25FFD">
        <w:rPr>
          <w:rFonts w:ascii="Arial" w:hAnsi="Arial"/>
          <w:b/>
          <w:bCs/>
          <w:sz w:val="23"/>
          <w:szCs w:val="23"/>
        </w:rPr>
        <w:t>Abwesenden</w:t>
      </w:r>
      <w:r w:rsidRPr="00F25FFD">
        <w:rPr>
          <w:rFonts w:ascii="Arial" w:hAnsi="Arial"/>
          <w:sz w:val="23"/>
          <w:szCs w:val="23"/>
        </w:rPr>
        <w:t xml:space="preserve"> liegt Zugang vor, wenn die Erklärung so in den Macht- oder Herrschaftsbereich des Empfängers gelangt, dass dieser Kenntnis von ihrem Inhalt nehmen konnte und mit einer solchen Kenntnisnahme tatsächlich auch zu rechnen war</w:t>
      </w:r>
    </w:p>
    <w:p w14:paraId="5B752C81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d) Feststellung des Inhalts der Erklärung</w:t>
      </w:r>
    </w:p>
    <w:p w14:paraId="39393F02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64330A03" w14:textId="77777777" w:rsidR="00DF0B7E" w:rsidRPr="00F25FFD" w:rsidRDefault="00360DBB">
      <w:pPr>
        <w:pStyle w:val="Default"/>
        <w:rPr>
          <w:rFonts w:ascii="Arial" w:hAnsi="Arial"/>
          <w:b/>
          <w:bCs/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2. Annahme</w:t>
      </w:r>
    </w:p>
    <w:p w14:paraId="15141093" w14:textId="77777777" w:rsidR="00DF0B7E" w:rsidRPr="00F25FFD" w:rsidRDefault="00DF0B7E">
      <w:pPr>
        <w:pStyle w:val="Default"/>
        <w:rPr>
          <w:rFonts w:ascii="Arial" w:hAnsi="Arial"/>
          <w:b/>
          <w:bCs/>
          <w:sz w:val="23"/>
          <w:szCs w:val="23"/>
        </w:rPr>
      </w:pPr>
    </w:p>
    <w:p w14:paraId="3DCC9811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a) Willenserklärung des Annehmenden</w:t>
      </w:r>
    </w:p>
    <w:p w14:paraId="6CF294A5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lastRenderedPageBreak/>
        <w:t>Vorliegen des objektiven und subjektiven Tatbestands einer Willenserklärung (Annahmeerklärung)</w:t>
      </w:r>
    </w:p>
    <w:p w14:paraId="313D814B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1F95DDC2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b) Abgabe der Erklärung</w:t>
      </w:r>
    </w:p>
    <w:p w14:paraId="53692834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04382CBC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c) Zugang der Erklärung</w:t>
      </w:r>
    </w:p>
    <w:p w14:paraId="7A18D39A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i/>
          <w:iCs/>
          <w:sz w:val="23"/>
          <w:szCs w:val="23"/>
        </w:rPr>
        <w:t>(1) Zugang der Annahmeerklärung beim Antragenden</w:t>
      </w:r>
    </w:p>
    <w:p w14:paraId="257ABAB3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i/>
          <w:iCs/>
          <w:sz w:val="23"/>
          <w:szCs w:val="23"/>
        </w:rPr>
        <w:t>(2) Rechtzeitigkeit des Zugangs nach §§ 147, 148 BGB</w:t>
      </w:r>
    </w:p>
    <w:p w14:paraId="70593353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2912F03D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d) Feststellung der inhaltlichen Übereinstimmung der Erklärung mit dem Angebot</w:t>
      </w:r>
    </w:p>
    <w:p w14:paraId="56971C04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7E1AA6B5" w14:textId="77777777" w:rsidR="00DF0B7E" w:rsidRPr="00F25FFD" w:rsidRDefault="00360DBB">
      <w:pPr>
        <w:pStyle w:val="Default"/>
        <w:rPr>
          <w:rFonts w:ascii="Arial" w:hAnsi="Arial"/>
          <w:b/>
          <w:bCs/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3. Rechtsfolge:</w:t>
      </w:r>
    </w:p>
    <w:p w14:paraId="5F7A651D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(Bindende) vertragliche Einigung zwischen den Beteiligten.</w:t>
      </w:r>
    </w:p>
    <w:p w14:paraId="7585F102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7BCEB160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613D85ED" w14:textId="6036CB4D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  <w:u w:val="single"/>
        </w:rPr>
        <w:t>Schema Stellvertretung</w:t>
      </w:r>
    </w:p>
    <w:p w14:paraId="1047B89B" w14:textId="77777777" w:rsidR="00DF0B7E" w:rsidRPr="00F25FFD" w:rsidRDefault="00DF0B7E">
      <w:pPr>
        <w:pStyle w:val="Default"/>
        <w:rPr>
          <w:rFonts w:ascii="Arial" w:hAnsi="Arial"/>
          <w:sz w:val="23"/>
          <w:szCs w:val="23"/>
          <w:u w:val="single"/>
        </w:rPr>
      </w:pPr>
    </w:p>
    <w:p w14:paraId="2A81CE2E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1. Zulässigkeit der Vertretung</w:t>
      </w:r>
    </w:p>
    <w:p w14:paraId="50CF7335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41839072" w14:textId="77777777" w:rsidR="00DF0B7E" w:rsidRPr="00F25FFD" w:rsidRDefault="00360DBB">
      <w:pPr>
        <w:pStyle w:val="Default"/>
        <w:rPr>
          <w:rFonts w:ascii="Arial" w:hAnsi="Arial"/>
          <w:b/>
          <w:bCs/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2. Eigene Willenserklärung des Vertreters</w:t>
      </w:r>
    </w:p>
    <w:p w14:paraId="6F49373C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Vertretung</w:t>
      </w:r>
      <w:r w:rsidRPr="00F25FFD">
        <w:rPr>
          <w:rFonts w:ascii="Arial" w:hAnsi="Arial"/>
          <w:sz w:val="23"/>
          <w:szCs w:val="23"/>
        </w:rPr>
        <w:t xml:space="preserve"> durch Abgabe einer eigenen Willenserklärung des Vertreters liegt regelmäßig vor, wenn diesem ein gewisses Maß an eigener Entscheidungsfreiheit in Bezug auf die Erklärung bleibt</w:t>
      </w:r>
    </w:p>
    <w:p w14:paraId="66D8E01F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- z.B. durch Bestimmung des Vertragspartners oder des Vertragsgegenstands</w:t>
      </w:r>
    </w:p>
    <w:p w14:paraId="291AF1AF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- maßgeblich ist, wie der Vertragspartner das Auftreten des Dritten auffassen musste =&gt; die Erklärung ist in Zweifelsfällen auszulegen - Formulierungsbeispiel: „…ich kaufe im Namen des Dritten…“</w:t>
      </w:r>
    </w:p>
    <w:p w14:paraId="09B69A0C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 xml:space="preserve">- </w:t>
      </w:r>
      <w:r w:rsidRPr="00F25FFD">
        <w:rPr>
          <w:rFonts w:ascii="Arial" w:hAnsi="Arial"/>
          <w:b/>
          <w:bCs/>
          <w:sz w:val="23"/>
          <w:szCs w:val="23"/>
        </w:rPr>
        <w:t>Botenschaft</w:t>
      </w:r>
      <w:r w:rsidRPr="00F25FFD">
        <w:rPr>
          <w:rFonts w:ascii="Arial" w:hAnsi="Arial"/>
          <w:sz w:val="23"/>
          <w:szCs w:val="23"/>
        </w:rPr>
        <w:t xml:space="preserve"> liegt vor, wenn lediglich eine fremde Willenserklärung des Geschäftsherrn überbracht wird, also keine eigene Entscheidungsfreiheit des Erklärenden besteht</w:t>
      </w:r>
    </w:p>
    <w:p w14:paraId="3D407F2C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- der Bote als „personifizierte Übermittlungseinheit“</w:t>
      </w:r>
    </w:p>
    <w:p w14:paraId="6E5B9964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- Formulierungsbeispiel: „…ich soll von einem Dritten ausrichten</w:t>
      </w:r>
    </w:p>
    <w:p w14:paraId="4B188C6F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07D068F3" w14:textId="77777777" w:rsidR="00DF0B7E" w:rsidRPr="00F25FFD" w:rsidRDefault="00360DBB">
      <w:pPr>
        <w:pStyle w:val="Default"/>
        <w:rPr>
          <w:rFonts w:ascii="Arial" w:hAnsi="Arial"/>
          <w:b/>
          <w:bCs/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3. Im Namen des Vertretenen</w:t>
      </w:r>
    </w:p>
    <w:p w14:paraId="6156F7F5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Offenkundigkeitsprinzip</w:t>
      </w:r>
    </w:p>
    <w:p w14:paraId="60736F5B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für den Vertragspartner muss erkennbar sein, dass der Vertreter nicht für sich, sondern für einen anderen handelt</w:t>
      </w:r>
    </w:p>
    <w:p w14:paraId="4783F1D7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2BE1A1A5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4. Vertretungsmacht</w:t>
      </w:r>
    </w:p>
    <w:p w14:paraId="0A02F6EF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a) Gesetzliche Vertretungsmacht</w:t>
      </w:r>
    </w:p>
    <w:p w14:paraId="2EC7E6F2" w14:textId="77777777" w:rsidR="00DF0B7E" w:rsidRPr="00F25FFD" w:rsidRDefault="00360DBB">
      <w:pPr>
        <w:pStyle w:val="Default"/>
        <w:rPr>
          <w:rFonts w:ascii="Arial" w:hAnsi="Arial"/>
          <w:sz w:val="23"/>
          <w:szCs w:val="23"/>
        </w:rPr>
      </w:pPr>
      <w:r w:rsidRPr="00F25FFD">
        <w:rPr>
          <w:rFonts w:ascii="Arial" w:hAnsi="Arial"/>
          <w:sz w:val="23"/>
          <w:szCs w:val="23"/>
        </w:rPr>
        <w:t>b) Rechtsgeschäftliche Vertretungsmacht (Vollmacht)</w:t>
      </w:r>
    </w:p>
    <w:p w14:paraId="45F3ADA0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i/>
          <w:iCs/>
          <w:sz w:val="23"/>
          <w:szCs w:val="23"/>
        </w:rPr>
        <w:t>(1) Bestehen einer Vollmacht</w:t>
      </w:r>
    </w:p>
    <w:p w14:paraId="3058B98E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i/>
          <w:iCs/>
          <w:sz w:val="23"/>
          <w:szCs w:val="23"/>
        </w:rPr>
        <w:t>(2) Vertreterhandeln innerhalb der Vollmacht</w:t>
      </w:r>
    </w:p>
    <w:p w14:paraId="56D33BAD" w14:textId="77777777" w:rsidR="00DF0B7E" w:rsidRPr="00F25FFD" w:rsidRDefault="00DF0B7E">
      <w:pPr>
        <w:pStyle w:val="Default"/>
        <w:rPr>
          <w:rFonts w:ascii="Arial" w:hAnsi="Arial"/>
          <w:sz w:val="23"/>
          <w:szCs w:val="23"/>
        </w:rPr>
      </w:pPr>
    </w:p>
    <w:p w14:paraId="00A53371" w14:textId="77777777" w:rsidR="00DF0B7E" w:rsidRPr="00F25FFD" w:rsidRDefault="00360DBB">
      <w:pPr>
        <w:pStyle w:val="Default"/>
        <w:rPr>
          <w:sz w:val="23"/>
          <w:szCs w:val="23"/>
        </w:rPr>
      </w:pPr>
      <w:r w:rsidRPr="00F25FFD">
        <w:rPr>
          <w:rFonts w:ascii="Arial" w:hAnsi="Arial"/>
          <w:b/>
          <w:bCs/>
          <w:sz w:val="23"/>
          <w:szCs w:val="23"/>
        </w:rPr>
        <w:t>Rechtsfolge: Dem Vertretenen wird die Erklärung des Vertreters als eigene zugerechnet. =&gt; Dieser wird persönlich aus dem Vertrag berechtigt und verpflichtet.</w:t>
      </w:r>
    </w:p>
    <w:p w14:paraId="5CB3367D" w14:textId="77777777" w:rsidR="00DF0B7E" w:rsidRDefault="00DF0B7E">
      <w:pPr>
        <w:pStyle w:val="Default"/>
        <w:rPr>
          <w:rFonts w:ascii="Arial" w:hAnsi="Arial"/>
        </w:rPr>
      </w:pPr>
    </w:p>
    <w:p w14:paraId="623E3B57" w14:textId="77777777" w:rsidR="00DF0B7E" w:rsidRDefault="00DF0B7E">
      <w:pPr>
        <w:pStyle w:val="Default"/>
        <w:rPr>
          <w:rFonts w:ascii="Arial" w:hAnsi="Arial"/>
        </w:rPr>
      </w:pPr>
    </w:p>
    <w:p w14:paraId="3B0838FB" w14:textId="4FD9EEF7" w:rsidR="00DF0B7E" w:rsidRDefault="00DF0B7E">
      <w:pPr>
        <w:pStyle w:val="Default"/>
      </w:pPr>
    </w:p>
    <w:sectPr w:rsidR="00DF0B7E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7134F" w14:textId="77777777" w:rsidR="004E316A" w:rsidRDefault="004E316A">
      <w:r>
        <w:separator/>
      </w:r>
    </w:p>
  </w:endnote>
  <w:endnote w:type="continuationSeparator" w:id="0">
    <w:p w14:paraId="247E5067" w14:textId="77777777" w:rsidR="004E316A" w:rsidRDefault="004E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, Calibri">
    <w:altName w:val="Arial"/>
    <w:charset w:val="00"/>
    <w:family w:val="swiss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A1BB6" w14:textId="77777777" w:rsidR="004E316A" w:rsidRDefault="004E316A">
      <w:r>
        <w:rPr>
          <w:color w:val="000000"/>
        </w:rPr>
        <w:separator/>
      </w:r>
    </w:p>
  </w:footnote>
  <w:footnote w:type="continuationSeparator" w:id="0">
    <w:p w14:paraId="09FB3CED" w14:textId="77777777" w:rsidR="004E316A" w:rsidRDefault="004E3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242"/>
      <w:gridCol w:w="5069"/>
      <w:gridCol w:w="2327"/>
    </w:tblGrid>
    <w:tr w:rsidR="007944A9" w14:paraId="544437C4" w14:textId="77777777">
      <w:tc>
        <w:tcPr>
          <w:tcW w:w="224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14:paraId="34339994" w14:textId="77777777" w:rsidR="00F25FFD" w:rsidRDefault="00F25FFD" w:rsidP="00F25FFD">
          <w:pPr>
            <w:pStyle w:val="TableContents"/>
          </w:pPr>
          <w:r>
            <w:t>Klasse:</w:t>
          </w:r>
        </w:p>
        <w:p w14:paraId="4AD70CF8" w14:textId="3A9790C4" w:rsidR="007944A9" w:rsidRDefault="00F25FFD" w:rsidP="00F25FFD">
          <w:pPr>
            <w:pStyle w:val="TableContents"/>
          </w:pPr>
          <w:r>
            <w:t>Datum:</w:t>
          </w:r>
        </w:p>
      </w:tc>
      <w:tc>
        <w:tcPr>
          <w:tcW w:w="506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14:paraId="37196D6C" w14:textId="33FC5C7A" w:rsidR="007944A9" w:rsidRDefault="00360DBB">
          <w:pPr>
            <w:pStyle w:val="TableContents"/>
          </w:pPr>
          <w:r>
            <w:t>LF 4: Prüfungsschema zum Vertragsabschluss</w:t>
          </w:r>
          <w:r w:rsidR="00F25FFD">
            <w:t xml:space="preserve"> und</w:t>
          </w:r>
          <w:r>
            <w:t xml:space="preserve"> Stellvertretung</w:t>
          </w:r>
        </w:p>
      </w:tc>
      <w:tc>
        <w:tcPr>
          <w:tcW w:w="232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14:paraId="1C67C6D9" w14:textId="16B18B24" w:rsidR="007944A9" w:rsidRDefault="004E316A">
          <w:pPr>
            <w:pStyle w:val="TableContents"/>
          </w:pPr>
        </w:p>
      </w:tc>
    </w:tr>
  </w:tbl>
  <w:p w14:paraId="581C383D" w14:textId="77777777" w:rsidR="007944A9" w:rsidRDefault="004E316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951A4"/>
    <w:multiLevelType w:val="hybridMultilevel"/>
    <w:tmpl w:val="B0C298E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828B1"/>
    <w:multiLevelType w:val="multilevel"/>
    <w:tmpl w:val="96C47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7F60B82"/>
    <w:multiLevelType w:val="multilevel"/>
    <w:tmpl w:val="43D8182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B7E"/>
    <w:rsid w:val="00175FE1"/>
    <w:rsid w:val="00360DBB"/>
    <w:rsid w:val="004E316A"/>
    <w:rsid w:val="00DF0B7E"/>
    <w:rsid w:val="00F2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E22E"/>
  <w15:docId w15:val="{AA3B40FA-D6C9-48D6-951F-B735D9F9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Calibri, Calibri" w:eastAsia="Calibri, Calibri" w:hAnsi="Calibri, Calibri" w:cs="Calibri, Calibri"/>
      <w:color w:val="00000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Fuzeile">
    <w:name w:val="footer"/>
    <w:basedOn w:val="Standard"/>
    <w:link w:val="FuzeileZchn"/>
    <w:uiPriority w:val="99"/>
    <w:unhideWhenUsed/>
    <w:rsid w:val="00F25FFD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25FFD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Sandalgi-Bauer</dc:creator>
  <cp:lastModifiedBy>Martin Bauer</cp:lastModifiedBy>
  <cp:revision>2</cp:revision>
  <dcterms:created xsi:type="dcterms:W3CDTF">2021-01-22T14:32:00Z</dcterms:created>
  <dcterms:modified xsi:type="dcterms:W3CDTF">2021-01-22T14:32:00Z</dcterms:modified>
</cp:coreProperties>
</file>