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F849E2" w14:textId="043BE16D" w:rsidR="006C6ED5" w:rsidRDefault="004A5EDF"/>
    <w:p w14:paraId="098EF1B7" w14:textId="77777777" w:rsidR="0043265D" w:rsidRPr="00241E56" w:rsidRDefault="0043265D" w:rsidP="0043265D">
      <w:pPr>
        <w:rPr>
          <w:rFonts w:ascii="Arial" w:hAnsi="Arial" w:cs="Arial"/>
          <w:szCs w:val="24"/>
        </w:rPr>
      </w:pPr>
    </w:p>
    <w:p w14:paraId="4BDB9D12" w14:textId="77777777" w:rsidR="0043265D" w:rsidRPr="00241E56" w:rsidRDefault="0043265D" w:rsidP="0043265D">
      <w:pPr>
        <w:rPr>
          <w:rFonts w:ascii="Arial" w:hAnsi="Arial" w:cs="Arial"/>
          <w:szCs w:val="24"/>
        </w:rPr>
      </w:pPr>
    </w:p>
    <w:p w14:paraId="4325A018" w14:textId="5AB5DD22" w:rsidR="0043265D" w:rsidRPr="00C97DFC" w:rsidRDefault="0043265D" w:rsidP="0043265D">
      <w:pPr>
        <w:spacing w:after="120" w:line="276" w:lineRule="auto"/>
        <w:rPr>
          <w:rFonts w:ascii="Arial" w:hAnsi="Arial" w:cs="Arial"/>
          <w:b/>
          <w:bCs/>
          <w:szCs w:val="24"/>
          <w:lang w:eastAsia="en-US"/>
        </w:rPr>
      </w:pPr>
      <w:r w:rsidRPr="00C97DFC">
        <w:rPr>
          <w:rFonts w:ascii="Arial" w:hAnsi="Arial" w:cs="Arial"/>
          <w:b/>
          <w:bCs/>
          <w:szCs w:val="24"/>
          <w:lang w:eastAsia="en-US"/>
        </w:rPr>
        <w:t>Arbeitsblatt 1</w:t>
      </w:r>
      <w:r w:rsidR="00911DD9" w:rsidRPr="00C97DFC">
        <w:rPr>
          <w:rFonts w:ascii="Arial" w:hAnsi="Arial" w:cs="Arial"/>
          <w:b/>
          <w:bCs/>
          <w:szCs w:val="24"/>
          <w:lang w:eastAsia="en-US"/>
        </w:rPr>
        <w:t>: Aufgaben der Jugendarbeit</w:t>
      </w:r>
    </w:p>
    <w:tbl>
      <w:tblPr>
        <w:tblStyle w:val="Tabellenraster"/>
        <w:tblW w:w="9356" w:type="dxa"/>
        <w:tblInd w:w="-147" w:type="dxa"/>
        <w:tblLook w:val="04A0" w:firstRow="1" w:lastRow="0" w:firstColumn="1" w:lastColumn="0" w:noHBand="0" w:noVBand="1"/>
      </w:tblPr>
      <w:tblGrid>
        <w:gridCol w:w="4191"/>
        <w:gridCol w:w="4139"/>
        <w:gridCol w:w="1026"/>
      </w:tblGrid>
      <w:tr w:rsidR="0043265D" w:rsidRPr="00241E56" w14:paraId="0530BB7F" w14:textId="77777777" w:rsidTr="00F41860">
        <w:trPr>
          <w:trHeight w:val="307"/>
        </w:trPr>
        <w:tc>
          <w:tcPr>
            <w:tcW w:w="4390" w:type="dxa"/>
          </w:tcPr>
          <w:p w14:paraId="157B896B" w14:textId="77777777" w:rsidR="0043265D" w:rsidRPr="00241E56" w:rsidRDefault="0043265D" w:rsidP="00F41860">
            <w:pPr>
              <w:tabs>
                <w:tab w:val="left" w:pos="1872"/>
              </w:tabs>
              <w:spacing w:after="160" w:line="259" w:lineRule="auto"/>
              <w:jc w:val="both"/>
              <w:rPr>
                <w:rFonts w:ascii="Arial" w:hAnsi="Arial" w:cs="Arial"/>
                <w:sz w:val="22"/>
                <w:szCs w:val="22"/>
                <w:lang w:eastAsia="en-US"/>
              </w:rPr>
            </w:pPr>
            <w:r w:rsidRPr="00241E56">
              <w:rPr>
                <w:rFonts w:ascii="Arial" w:hAnsi="Arial" w:cs="Arial"/>
                <w:sz w:val="22"/>
                <w:szCs w:val="22"/>
                <w:lang w:eastAsia="en-US"/>
              </w:rPr>
              <w:t>Schule / Logo</w:t>
            </w:r>
          </w:p>
        </w:tc>
        <w:tc>
          <w:tcPr>
            <w:tcW w:w="4966" w:type="dxa"/>
            <w:gridSpan w:val="2"/>
          </w:tcPr>
          <w:p w14:paraId="3F539966" w14:textId="77777777" w:rsidR="0043265D" w:rsidRPr="00241E56" w:rsidRDefault="0043265D" w:rsidP="00F41860">
            <w:pPr>
              <w:tabs>
                <w:tab w:val="left" w:pos="1872"/>
              </w:tabs>
              <w:spacing w:after="160" w:line="259" w:lineRule="auto"/>
              <w:jc w:val="both"/>
              <w:rPr>
                <w:rFonts w:ascii="Arial" w:hAnsi="Arial" w:cs="Arial"/>
                <w:sz w:val="22"/>
                <w:szCs w:val="22"/>
                <w:lang w:eastAsia="en-US"/>
              </w:rPr>
            </w:pPr>
            <w:r w:rsidRPr="00241E56">
              <w:rPr>
                <w:rFonts w:ascii="Arial" w:hAnsi="Arial" w:cs="Arial"/>
                <w:sz w:val="22"/>
                <w:szCs w:val="22"/>
                <w:lang w:eastAsia="en-US"/>
              </w:rPr>
              <w:t xml:space="preserve">Schulform: </w:t>
            </w:r>
            <w:r w:rsidRPr="00E72CEA">
              <w:rPr>
                <w:rFonts w:ascii="Arial" w:hAnsi="Arial" w:cs="Arial"/>
                <w:sz w:val="22"/>
                <w:szCs w:val="22"/>
                <w:lang w:eastAsia="en-US"/>
              </w:rPr>
              <w:t>Fachoberschule Gesundheit und Soziales – Schwerpunkt Sozialpädagogik</w:t>
            </w:r>
          </w:p>
        </w:tc>
      </w:tr>
      <w:tr w:rsidR="0043265D" w:rsidRPr="00241E56" w14:paraId="6BD9C4CE" w14:textId="77777777" w:rsidTr="00F41860">
        <w:trPr>
          <w:trHeight w:val="307"/>
        </w:trPr>
        <w:tc>
          <w:tcPr>
            <w:tcW w:w="4390" w:type="dxa"/>
          </w:tcPr>
          <w:p w14:paraId="399597A8" w14:textId="77777777" w:rsidR="0043265D" w:rsidRPr="00241E56" w:rsidRDefault="0043265D" w:rsidP="00F41860">
            <w:pPr>
              <w:tabs>
                <w:tab w:val="left" w:pos="1872"/>
              </w:tabs>
              <w:spacing w:after="160" w:line="259" w:lineRule="auto"/>
              <w:rPr>
                <w:rFonts w:ascii="Arial" w:hAnsi="Arial" w:cs="Arial"/>
                <w:sz w:val="22"/>
                <w:szCs w:val="22"/>
                <w:lang w:eastAsia="en-US"/>
              </w:rPr>
            </w:pPr>
            <w:r w:rsidRPr="00E72CEA">
              <w:rPr>
                <w:rFonts w:ascii="Arial" w:hAnsi="Arial" w:cs="Arial"/>
                <w:sz w:val="22"/>
                <w:szCs w:val="22"/>
                <w:lang w:eastAsia="en-US"/>
              </w:rPr>
              <w:t>Lerngebiet:</w:t>
            </w:r>
            <w:r w:rsidRPr="00241E56">
              <w:rPr>
                <w:rFonts w:ascii="Arial" w:hAnsi="Arial" w:cs="Arial"/>
                <w:sz w:val="22"/>
                <w:szCs w:val="22"/>
                <w:lang w:eastAsia="en-US"/>
              </w:rPr>
              <w:t xml:space="preserve"> </w:t>
            </w:r>
            <w:r w:rsidRPr="00E72CEA">
              <w:rPr>
                <w:rFonts w:ascii="Arial" w:hAnsi="Arial" w:cs="Arial"/>
                <w:sz w:val="22"/>
                <w:szCs w:val="22"/>
                <w:lang w:eastAsia="en-US"/>
              </w:rPr>
              <w:t xml:space="preserve">Erziehungs- und Bildungsprozesse erfassen und institutionell organisieren  </w:t>
            </w:r>
          </w:p>
        </w:tc>
        <w:tc>
          <w:tcPr>
            <w:tcW w:w="4966" w:type="dxa"/>
            <w:gridSpan w:val="2"/>
          </w:tcPr>
          <w:p w14:paraId="3AE7DB6D" w14:textId="1B7D3875" w:rsidR="0043265D" w:rsidRPr="00241E56" w:rsidRDefault="0043265D" w:rsidP="00F41860">
            <w:pPr>
              <w:tabs>
                <w:tab w:val="left" w:pos="1872"/>
              </w:tabs>
              <w:spacing w:after="160" w:line="259" w:lineRule="auto"/>
              <w:rPr>
                <w:rFonts w:ascii="Arial" w:hAnsi="Arial" w:cs="Arial"/>
                <w:sz w:val="22"/>
                <w:szCs w:val="22"/>
                <w:lang w:eastAsia="en-US"/>
              </w:rPr>
            </w:pPr>
            <w:r w:rsidRPr="00241E56">
              <w:rPr>
                <w:rFonts w:ascii="Arial" w:hAnsi="Arial" w:cs="Arial"/>
                <w:sz w:val="22"/>
                <w:szCs w:val="22"/>
                <w:lang w:eastAsia="en-US"/>
              </w:rPr>
              <w:t>Lern</w:t>
            </w:r>
            <w:r w:rsidRPr="00E72CEA">
              <w:rPr>
                <w:rFonts w:ascii="Arial" w:hAnsi="Arial" w:cs="Arial"/>
                <w:sz w:val="22"/>
                <w:szCs w:val="22"/>
                <w:lang w:eastAsia="en-US"/>
              </w:rPr>
              <w:t>situation: Qualitätsentwicklung als Leitungsinstrument</w:t>
            </w:r>
            <w:r w:rsidR="004A5EDF">
              <w:rPr>
                <w:rFonts w:ascii="Arial" w:hAnsi="Arial" w:cs="Arial"/>
                <w:sz w:val="22"/>
                <w:szCs w:val="22"/>
                <w:lang w:eastAsia="en-US"/>
              </w:rPr>
              <w:t xml:space="preserve"> im Jugendzentrum</w:t>
            </w:r>
            <w:r w:rsidRPr="00E72CEA">
              <w:rPr>
                <w:rFonts w:ascii="Arial" w:hAnsi="Arial" w:cs="Arial"/>
                <w:sz w:val="22"/>
                <w:szCs w:val="22"/>
                <w:lang w:eastAsia="en-US"/>
              </w:rPr>
              <w:t xml:space="preserve"> analysieren</w:t>
            </w:r>
          </w:p>
        </w:tc>
      </w:tr>
      <w:tr w:rsidR="0043265D" w:rsidRPr="00241E56" w14:paraId="5CDEF4E4" w14:textId="77777777" w:rsidTr="00F41860">
        <w:trPr>
          <w:trHeight w:val="307"/>
        </w:trPr>
        <w:tc>
          <w:tcPr>
            <w:tcW w:w="4390" w:type="dxa"/>
          </w:tcPr>
          <w:p w14:paraId="1C5FF55F" w14:textId="3DD037B8" w:rsidR="0043265D" w:rsidRPr="00241E56" w:rsidRDefault="0043265D" w:rsidP="00F41860">
            <w:pPr>
              <w:tabs>
                <w:tab w:val="left" w:pos="1872"/>
              </w:tabs>
              <w:spacing w:after="160" w:line="259" w:lineRule="auto"/>
              <w:jc w:val="both"/>
              <w:rPr>
                <w:rFonts w:ascii="Arial" w:hAnsi="Arial" w:cs="Arial"/>
                <w:sz w:val="22"/>
                <w:szCs w:val="22"/>
                <w:lang w:eastAsia="en-US"/>
              </w:rPr>
            </w:pPr>
            <w:r w:rsidRPr="00241E56">
              <w:rPr>
                <w:rFonts w:ascii="Arial" w:hAnsi="Arial" w:cs="Arial"/>
                <w:sz w:val="22"/>
                <w:szCs w:val="22"/>
                <w:lang w:eastAsia="en-US"/>
              </w:rPr>
              <w:t xml:space="preserve">Unterrichtsthema: </w:t>
            </w:r>
            <w:r w:rsidR="00911DD9">
              <w:rPr>
                <w:rFonts w:ascii="Arial" w:hAnsi="Arial" w:cs="Arial"/>
                <w:sz w:val="22"/>
                <w:szCs w:val="22"/>
                <w:lang w:eastAsia="en-US"/>
              </w:rPr>
              <w:t>Aufgaben der Jugendarbeit</w:t>
            </w:r>
          </w:p>
        </w:tc>
        <w:tc>
          <w:tcPr>
            <w:tcW w:w="4966" w:type="dxa"/>
            <w:gridSpan w:val="2"/>
          </w:tcPr>
          <w:p w14:paraId="2854EB98" w14:textId="77777777" w:rsidR="0043265D" w:rsidRPr="00241E56" w:rsidRDefault="0043265D" w:rsidP="00F41860">
            <w:pPr>
              <w:tabs>
                <w:tab w:val="left" w:pos="1872"/>
              </w:tabs>
              <w:spacing w:after="160" w:line="259" w:lineRule="auto"/>
              <w:jc w:val="both"/>
              <w:rPr>
                <w:rFonts w:ascii="Arial" w:hAnsi="Arial" w:cs="Arial"/>
                <w:sz w:val="22"/>
                <w:szCs w:val="22"/>
                <w:lang w:eastAsia="en-US"/>
              </w:rPr>
            </w:pPr>
            <w:r w:rsidRPr="00241E56">
              <w:rPr>
                <w:rFonts w:ascii="Arial" w:hAnsi="Arial" w:cs="Arial"/>
                <w:sz w:val="22"/>
                <w:szCs w:val="22"/>
                <w:lang w:eastAsia="en-US"/>
              </w:rPr>
              <w:t xml:space="preserve">Klasse: </w:t>
            </w:r>
          </w:p>
        </w:tc>
      </w:tr>
      <w:tr w:rsidR="0043265D" w:rsidRPr="00241E56" w14:paraId="338645AF" w14:textId="77777777" w:rsidTr="00F41860">
        <w:trPr>
          <w:trHeight w:val="307"/>
        </w:trPr>
        <w:tc>
          <w:tcPr>
            <w:tcW w:w="4390" w:type="dxa"/>
          </w:tcPr>
          <w:p w14:paraId="7065C463" w14:textId="77777777" w:rsidR="0043265D" w:rsidRPr="00241E56" w:rsidRDefault="0043265D" w:rsidP="00F41860">
            <w:pPr>
              <w:tabs>
                <w:tab w:val="left" w:pos="1872"/>
              </w:tabs>
              <w:spacing w:after="160" w:line="259" w:lineRule="auto"/>
              <w:jc w:val="both"/>
              <w:rPr>
                <w:rFonts w:ascii="Arial" w:hAnsi="Arial" w:cs="Arial"/>
                <w:sz w:val="22"/>
                <w:szCs w:val="22"/>
                <w:lang w:eastAsia="en-US"/>
              </w:rPr>
            </w:pPr>
            <w:r w:rsidRPr="00241E56">
              <w:rPr>
                <w:rFonts w:ascii="Arial" w:hAnsi="Arial" w:cs="Arial"/>
                <w:sz w:val="22"/>
                <w:szCs w:val="22"/>
                <w:lang w:eastAsia="en-US"/>
              </w:rPr>
              <w:t>Lehrkraft:</w:t>
            </w:r>
          </w:p>
        </w:tc>
        <w:tc>
          <w:tcPr>
            <w:tcW w:w="4966" w:type="dxa"/>
            <w:gridSpan w:val="2"/>
          </w:tcPr>
          <w:p w14:paraId="0B2C09F2" w14:textId="77777777" w:rsidR="0043265D" w:rsidRPr="00241E56" w:rsidRDefault="0043265D" w:rsidP="00F41860">
            <w:pPr>
              <w:tabs>
                <w:tab w:val="left" w:pos="1872"/>
              </w:tabs>
              <w:spacing w:after="160" w:line="259" w:lineRule="auto"/>
              <w:jc w:val="both"/>
              <w:rPr>
                <w:rFonts w:ascii="Arial" w:hAnsi="Arial" w:cs="Arial"/>
                <w:sz w:val="22"/>
                <w:szCs w:val="22"/>
                <w:lang w:eastAsia="en-US"/>
              </w:rPr>
            </w:pPr>
            <w:r w:rsidRPr="00241E56">
              <w:rPr>
                <w:rFonts w:ascii="Arial" w:hAnsi="Arial" w:cs="Arial"/>
                <w:sz w:val="22"/>
                <w:szCs w:val="22"/>
                <w:lang w:eastAsia="en-US"/>
              </w:rPr>
              <w:t>Datum:</w:t>
            </w:r>
          </w:p>
        </w:tc>
      </w:tr>
      <w:tr w:rsidR="0043265D" w14:paraId="07A02A19" w14:textId="77777777" w:rsidTr="00F418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89" w:type="dxa"/>
            <w:gridSpan w:val="2"/>
          </w:tcPr>
          <w:p w14:paraId="412C09F7" w14:textId="77777777" w:rsidR="0043265D" w:rsidRDefault="0043265D" w:rsidP="00F41860">
            <w:pPr>
              <w:spacing w:after="120" w:line="276" w:lineRule="auto"/>
              <w:rPr>
                <w:rFonts w:ascii="Arial" w:hAnsi="Arial" w:cs="Arial"/>
                <w:szCs w:val="24"/>
                <w:lang w:eastAsia="en-US"/>
              </w:rPr>
            </w:pPr>
          </w:p>
          <w:p w14:paraId="518715D5" w14:textId="77777777" w:rsidR="0043265D" w:rsidRPr="0043265D" w:rsidRDefault="0043265D" w:rsidP="00F41860">
            <w:pPr>
              <w:spacing w:after="120" w:line="276" w:lineRule="auto"/>
              <w:rPr>
                <w:rFonts w:ascii="Arial" w:hAnsi="Arial" w:cs="Arial"/>
                <w:b/>
                <w:bCs/>
                <w:szCs w:val="24"/>
                <w:lang w:eastAsia="en-US"/>
              </w:rPr>
            </w:pPr>
            <w:r w:rsidRPr="0043265D">
              <w:rPr>
                <w:rFonts w:ascii="Arial" w:hAnsi="Arial" w:cs="Arial"/>
                <w:b/>
                <w:bCs/>
                <w:szCs w:val="24"/>
                <w:lang w:eastAsia="en-US"/>
              </w:rPr>
              <w:t>Das Niedersächsische Landesamt für Soziales, Jugend und Familie beschreibt die Aufgaben der Jugendarbeit:</w:t>
            </w:r>
          </w:p>
        </w:tc>
        <w:tc>
          <w:tcPr>
            <w:tcW w:w="567" w:type="dxa"/>
          </w:tcPr>
          <w:p w14:paraId="465D62B2" w14:textId="77777777" w:rsidR="0043265D" w:rsidRDefault="0043265D" w:rsidP="00F41860">
            <w:pPr>
              <w:spacing w:after="120" w:line="276" w:lineRule="auto"/>
              <w:jc w:val="right"/>
              <w:rPr>
                <w:rFonts w:ascii="Arial" w:hAnsi="Arial" w:cs="Arial"/>
                <w:szCs w:val="24"/>
                <w:lang w:eastAsia="en-US"/>
              </w:rPr>
            </w:pPr>
            <w:r>
              <w:rPr>
                <w:rFonts w:ascii="Arial" w:hAnsi="Arial" w:cs="Arial"/>
                <w:noProof/>
                <w:szCs w:val="24"/>
                <w:lang w:eastAsia="en-US"/>
              </w:rPr>
              <w:drawing>
                <wp:inline distT="0" distB="0" distL="0" distR="0" wp14:anchorId="719F22E5" wp14:editId="010A9106">
                  <wp:extent cx="510610" cy="579120"/>
                  <wp:effectExtent l="0" t="0" r="381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530" cy="591506"/>
                          </a:xfrm>
                          <a:prstGeom prst="rect">
                            <a:avLst/>
                          </a:prstGeom>
                          <a:noFill/>
                        </pic:spPr>
                      </pic:pic>
                    </a:graphicData>
                  </a:graphic>
                </wp:inline>
              </w:drawing>
            </w:r>
          </w:p>
        </w:tc>
      </w:tr>
    </w:tbl>
    <w:p w14:paraId="267BB5FC" w14:textId="77777777" w:rsidR="0043265D" w:rsidRPr="00E72CEA" w:rsidRDefault="0043265D" w:rsidP="0043265D">
      <w:pPr>
        <w:spacing w:after="120" w:line="276" w:lineRule="auto"/>
        <w:jc w:val="both"/>
        <w:rPr>
          <w:rFonts w:ascii="Arial" w:hAnsi="Arial" w:cs="Arial"/>
          <w:sz w:val="22"/>
          <w:szCs w:val="22"/>
          <w:lang w:eastAsia="en-US"/>
        </w:rPr>
      </w:pPr>
    </w:p>
    <w:p w14:paraId="73014129" w14:textId="77777777" w:rsidR="00C37E7D" w:rsidRPr="00C37E7D" w:rsidRDefault="0043265D" w:rsidP="0043265D">
      <w:pPr>
        <w:spacing w:after="120" w:line="276" w:lineRule="auto"/>
        <w:jc w:val="both"/>
        <w:rPr>
          <w:rFonts w:ascii="Arial" w:hAnsi="Arial" w:cs="Arial"/>
          <w:sz w:val="22"/>
          <w:szCs w:val="22"/>
          <w:lang w:eastAsia="en-US"/>
        </w:rPr>
      </w:pPr>
      <w:r w:rsidRPr="00E72CEA">
        <w:rPr>
          <w:rFonts w:ascii="Arial" w:hAnsi="Arial" w:cs="Arial"/>
          <w:sz w:val="22"/>
          <w:szCs w:val="22"/>
          <w:lang w:eastAsia="en-US"/>
        </w:rPr>
        <w:t>„</w:t>
      </w:r>
      <w:r w:rsidRPr="00C37E7D">
        <w:rPr>
          <w:rFonts w:ascii="Arial" w:hAnsi="Arial" w:cs="Arial"/>
          <w:sz w:val="22"/>
          <w:szCs w:val="22"/>
          <w:lang w:eastAsia="en-US"/>
        </w:rPr>
        <w:t>Jugendarbeit ist eine Pflichtaufgabe des öffentlichen Trägers der Jugendhilfe. Ge</w:t>
      </w:r>
      <w:r w:rsidRPr="00E72CEA">
        <w:rPr>
          <w:rFonts w:ascii="Arial" w:hAnsi="Arial" w:cs="Arial"/>
          <w:sz w:val="22"/>
          <w:szCs w:val="22"/>
          <w:lang w:eastAsia="en-US"/>
        </w:rPr>
        <w:t>m</w:t>
      </w:r>
      <w:r w:rsidRPr="00C37E7D">
        <w:rPr>
          <w:rFonts w:ascii="Arial" w:hAnsi="Arial" w:cs="Arial"/>
          <w:sz w:val="22"/>
          <w:szCs w:val="22"/>
          <w:lang w:eastAsia="en-US"/>
        </w:rPr>
        <w:t>äß § 1 SGB VIII in Verbindung mit § 11 SGB VIII hat die Jugendarbeit unter anderem die Aufgabe positive Lebensbedingungen zu schaffen sowie junge Menschen in ihrer individuellen und sozialen Entwicklung zu fördern (§ 1 Abs. 3 SGB VIII).</w:t>
      </w:r>
    </w:p>
    <w:p w14:paraId="122DC014" w14:textId="77777777" w:rsidR="00C37E7D" w:rsidRPr="00C37E7D" w:rsidRDefault="0043265D" w:rsidP="0043265D">
      <w:pPr>
        <w:spacing w:after="120" w:line="276" w:lineRule="auto"/>
        <w:jc w:val="both"/>
        <w:rPr>
          <w:rFonts w:ascii="Arial" w:hAnsi="Arial" w:cs="Arial"/>
          <w:sz w:val="22"/>
          <w:szCs w:val="22"/>
          <w:lang w:eastAsia="en-US"/>
        </w:rPr>
      </w:pPr>
      <w:r w:rsidRPr="00C37E7D">
        <w:rPr>
          <w:rFonts w:ascii="Arial" w:hAnsi="Arial" w:cs="Arial"/>
          <w:sz w:val="22"/>
          <w:szCs w:val="22"/>
          <w:lang w:eastAsia="en-US"/>
        </w:rPr>
        <w:t>Um dieser Aufgabe gerecht werden zu können sind jungen Menschen die zur Förderung ihrer Entwicklung erforderlichen Angebote der Jugendarbeit zur Verfügung zu stellen (§ 11 Abs. 1 SGB VIII), wie z.B. Jugendzentren, Ferien- und Freizeitmaßnahmen oder auch Angebote der außerschulischen Bildung. Die Jugendarbeit wird von Verbänden, Gruppen und Initiativen der Jugend, von anderen Trägern der Jugendarbeit und den Trägern der öffentlichen Jugendhilfe angeboten. Letztere hat die eigenverantwortliche Tätigkeit der Jugendverbände und Jugendgruppen unter Wahrung ihres satzungsgemäßen Eigenlebens nach Maßgabe des § 74 SGB VIII zu fördern (§12 SGB VIII). Angebote der Jugendarbeit sollten dabei stets auf Freiwilligkeit ausgerichtet sein, die unterschiedlichen Interessen und Lebenslagen von Mädchen und Jungen berücksichtigen und die Jugendlichen in der Ausgestaltung der Angebote beteiligen (§ 11 Abs. 1 SGB VIII).</w:t>
      </w:r>
    </w:p>
    <w:p w14:paraId="002E6E40" w14:textId="77777777" w:rsidR="00C37E7D" w:rsidRPr="00C37E7D" w:rsidRDefault="0043265D" w:rsidP="0043265D">
      <w:pPr>
        <w:spacing w:after="120" w:line="276" w:lineRule="auto"/>
        <w:jc w:val="both"/>
        <w:rPr>
          <w:rFonts w:ascii="Arial" w:hAnsi="Arial" w:cs="Arial"/>
          <w:sz w:val="22"/>
          <w:szCs w:val="22"/>
          <w:lang w:eastAsia="en-US"/>
        </w:rPr>
      </w:pPr>
      <w:r w:rsidRPr="00C37E7D">
        <w:rPr>
          <w:rFonts w:ascii="Arial" w:hAnsi="Arial" w:cs="Arial"/>
          <w:sz w:val="22"/>
          <w:szCs w:val="22"/>
          <w:lang w:eastAsia="en-US"/>
        </w:rPr>
        <w:t>Das niedersächsische Landesjugendamt als überörtlicher Träger der Jugendhilfe unterstützt die Träger und Einrichtungen der Jugendarbeit in Niedersachsen mit Fortbildungsangeboten, Informationsveranstaltungen und Modellvorhaben zur Weiterentwicklung der Jugendarbeit sowie im Rahmen zahlreicher Förderprogramme (§ 85 SGB VIII).</w:t>
      </w:r>
      <w:r w:rsidRPr="00E72CEA">
        <w:rPr>
          <w:rFonts w:ascii="Arial" w:hAnsi="Arial" w:cs="Arial"/>
          <w:sz w:val="22"/>
          <w:szCs w:val="22"/>
          <w:lang w:eastAsia="en-US"/>
        </w:rPr>
        <w:t>“</w:t>
      </w:r>
    </w:p>
    <w:p w14:paraId="10483C75" w14:textId="0CBD3DA4" w:rsidR="00C37E7D" w:rsidRPr="00C37E7D" w:rsidRDefault="0043265D" w:rsidP="0043265D">
      <w:pPr>
        <w:spacing w:after="120" w:line="276" w:lineRule="auto"/>
        <w:rPr>
          <w:rFonts w:ascii="Arial" w:hAnsi="Arial" w:cs="Arial"/>
          <w:b/>
          <w:bCs/>
          <w:szCs w:val="24"/>
          <w:lang w:eastAsia="en-US"/>
        </w:rPr>
      </w:pPr>
      <w:r w:rsidRPr="00C37E7D">
        <w:rPr>
          <w:rFonts w:ascii="Arial" w:hAnsi="Arial" w:cs="Arial"/>
          <w:b/>
          <w:bCs/>
          <w:szCs w:val="24"/>
          <w:lang w:eastAsia="en-US"/>
        </w:rPr>
        <w:t xml:space="preserve">Quelle: </w:t>
      </w:r>
    </w:p>
    <w:p w14:paraId="55712B83" w14:textId="3C216A27" w:rsidR="0043265D" w:rsidRPr="00C37E7D" w:rsidRDefault="0043265D" w:rsidP="0043265D">
      <w:pPr>
        <w:spacing w:after="120" w:line="276" w:lineRule="auto"/>
        <w:rPr>
          <w:rFonts w:ascii="Arial" w:hAnsi="Arial" w:cs="Arial"/>
          <w:color w:val="0563C1" w:themeColor="hyperlink"/>
          <w:szCs w:val="24"/>
          <w:u w:val="single"/>
          <w:lang w:eastAsia="en-US"/>
        </w:rPr>
      </w:pPr>
      <w:r w:rsidRPr="00E72CEA">
        <w:rPr>
          <w:rFonts w:ascii="Arial" w:hAnsi="Arial" w:cs="Arial"/>
          <w:b/>
          <w:bCs/>
          <w:noProof/>
          <w:color w:val="0563C1" w:themeColor="hyperlink"/>
          <w:sz w:val="28"/>
          <w:szCs w:val="28"/>
          <w:u w:val="single"/>
          <w:lang w:eastAsia="en-US"/>
        </w:rPr>
        <mc:AlternateContent>
          <mc:Choice Requires="wps">
            <w:drawing>
              <wp:anchor distT="45720" distB="45720" distL="114300" distR="114300" simplePos="0" relativeHeight="251659264" behindDoc="0" locked="0" layoutInCell="1" allowOverlap="1" wp14:anchorId="0D6A40F7" wp14:editId="3CE5BF0B">
                <wp:simplePos x="0" y="0"/>
                <wp:positionH relativeFrom="margin">
                  <wp:posOffset>-635</wp:posOffset>
                </wp:positionH>
                <wp:positionV relativeFrom="paragraph">
                  <wp:posOffset>465455</wp:posOffset>
                </wp:positionV>
                <wp:extent cx="5882640" cy="304800"/>
                <wp:effectExtent l="0" t="0" r="22860" b="1524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304800"/>
                        </a:xfrm>
                        <a:prstGeom prst="rect">
                          <a:avLst/>
                        </a:prstGeom>
                        <a:solidFill>
                          <a:srgbClr val="FFFFFF"/>
                        </a:solidFill>
                        <a:ln w="9525">
                          <a:solidFill>
                            <a:srgbClr val="000000"/>
                          </a:solidFill>
                          <a:miter lim="800000"/>
                          <a:headEnd/>
                          <a:tailEnd/>
                        </a:ln>
                      </wps:spPr>
                      <wps:txbx>
                        <w:txbxContent>
                          <w:p w14:paraId="7798ED6D" w14:textId="68F2277E" w:rsidR="0043265D" w:rsidRPr="00E72CEA" w:rsidRDefault="0043265D" w:rsidP="0043265D">
                            <w:pPr>
                              <w:rPr>
                                <w:rFonts w:ascii="Arial" w:hAnsi="Arial" w:cs="Arial"/>
                                <w:b/>
                                <w:bCs/>
                                <w:sz w:val="28"/>
                                <w:szCs w:val="28"/>
                              </w:rPr>
                            </w:pPr>
                            <w:r w:rsidRPr="00E72CEA">
                              <w:rPr>
                                <w:rFonts w:ascii="Arial" w:hAnsi="Arial" w:cs="Arial"/>
                                <w:b/>
                                <w:bCs/>
                                <w:sz w:val="28"/>
                                <w:szCs w:val="28"/>
                              </w:rPr>
                              <w:t>Informieren Sie sich anhand d</w:t>
                            </w:r>
                            <w:r>
                              <w:rPr>
                                <w:rFonts w:ascii="Arial" w:hAnsi="Arial" w:cs="Arial"/>
                                <w:b/>
                                <w:bCs/>
                                <w:sz w:val="28"/>
                                <w:szCs w:val="28"/>
                              </w:rPr>
                              <w:t>ieser</w:t>
                            </w:r>
                            <w:r w:rsidRPr="00E72CEA">
                              <w:rPr>
                                <w:rFonts w:ascii="Arial" w:hAnsi="Arial" w:cs="Arial"/>
                                <w:b/>
                                <w:bCs/>
                                <w:sz w:val="28"/>
                                <w:szCs w:val="28"/>
                              </w:rPr>
                              <w:t xml:space="preserve"> Quelle über die Aufgaben und gesetzlichen Grundlagen der offenen Jugendarbeit in Jugendzentren. </w:t>
                            </w:r>
                          </w:p>
                          <w:p w14:paraId="40D956E6" w14:textId="77777777" w:rsidR="0043265D" w:rsidRPr="00E72CEA" w:rsidRDefault="0043265D" w:rsidP="0043265D">
                            <w:pPr>
                              <w:rPr>
                                <w:rFonts w:ascii="Arial" w:hAnsi="Arial" w:cs="Arial"/>
                                <w:b/>
                                <w:bCs/>
                                <w:sz w:val="28"/>
                                <w:szCs w:val="28"/>
                              </w:rPr>
                            </w:pPr>
                            <w:r w:rsidRPr="00E72CEA">
                              <w:rPr>
                                <w:rFonts w:ascii="Arial" w:hAnsi="Arial" w:cs="Arial"/>
                                <w:b/>
                                <w:bCs/>
                                <w:sz w:val="28"/>
                                <w:szCs w:val="28"/>
                              </w:rPr>
                              <w:t>Sammeln Sie Ihre Ergebnisse auf Karteikarten an der Pinwand</w:t>
                            </w:r>
                            <w:r>
                              <w:rPr>
                                <w:rFonts w:ascii="Arial" w:hAnsi="Arial" w:cs="Arial"/>
                                <w:b/>
                                <w:bCs/>
                                <w:sz w:val="28"/>
                                <w:szCs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D6A40F7" id="_x0000_t202" coordsize="21600,21600" o:spt="202" path="m,l,21600r21600,l21600,xe">
                <v:stroke joinstyle="miter"/>
                <v:path gradientshapeok="t" o:connecttype="rect"/>
              </v:shapetype>
              <v:shape id="Textfeld 2" o:spid="_x0000_s1026" type="#_x0000_t202" style="position:absolute;margin-left:-.05pt;margin-top:36.65pt;width:463.2pt;height:24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">
                <v:textbox style="mso-fit-shape-to-text:t">
                  <w:txbxContent>
                    <w:p w14:paraId="7798ED6D" w14:textId="68F2277E" w:rsidR="0043265D" w:rsidRPr="00E72CEA" w:rsidRDefault="0043265D" w:rsidP="0043265D">
                      <w:pPr>
                        <w:rPr>
                          <w:rFonts w:ascii="Arial" w:hAnsi="Arial" w:cs="Arial"/>
                          <w:b/>
                          <w:bCs/>
                          <w:sz w:val="28"/>
                          <w:szCs w:val="28"/>
                        </w:rPr>
                      </w:pPr>
                      <w:r w:rsidRPr="00E72CEA">
                        <w:rPr>
                          <w:rFonts w:ascii="Arial" w:hAnsi="Arial" w:cs="Arial"/>
                          <w:b/>
                          <w:bCs/>
                          <w:sz w:val="28"/>
                          <w:szCs w:val="28"/>
                        </w:rPr>
                        <w:t>Informieren Sie sich anhand d</w:t>
                      </w:r>
                      <w:r>
                        <w:rPr>
                          <w:rFonts w:ascii="Arial" w:hAnsi="Arial" w:cs="Arial"/>
                          <w:b/>
                          <w:bCs/>
                          <w:sz w:val="28"/>
                          <w:szCs w:val="28"/>
                        </w:rPr>
                        <w:t>ieser</w:t>
                      </w:r>
                      <w:r w:rsidRPr="00E72CEA">
                        <w:rPr>
                          <w:rFonts w:ascii="Arial" w:hAnsi="Arial" w:cs="Arial"/>
                          <w:b/>
                          <w:bCs/>
                          <w:sz w:val="28"/>
                          <w:szCs w:val="28"/>
                        </w:rPr>
                        <w:t xml:space="preserve"> Quelle über die Aufgaben und gesetzlichen Grundlagen der offenen Jugendarbeit in Jugendzentren. </w:t>
                      </w:r>
                    </w:p>
                    <w:p w14:paraId="40D956E6" w14:textId="77777777" w:rsidR="0043265D" w:rsidRPr="00E72CEA" w:rsidRDefault="0043265D" w:rsidP="0043265D">
                      <w:pPr>
                        <w:rPr>
                          <w:rFonts w:ascii="Arial" w:hAnsi="Arial" w:cs="Arial"/>
                          <w:b/>
                          <w:bCs/>
                          <w:sz w:val="28"/>
                          <w:szCs w:val="28"/>
                        </w:rPr>
                      </w:pPr>
                      <w:r w:rsidRPr="00E72CEA">
                        <w:rPr>
                          <w:rFonts w:ascii="Arial" w:hAnsi="Arial" w:cs="Arial"/>
                          <w:b/>
                          <w:bCs/>
                          <w:sz w:val="28"/>
                          <w:szCs w:val="28"/>
                        </w:rPr>
                        <w:t>Sammeln Sie Ihre Ergebnisse auf Karteikarten an der Pinwand</w:t>
                      </w:r>
                      <w:r>
                        <w:rPr>
                          <w:rFonts w:ascii="Arial" w:hAnsi="Arial" w:cs="Arial"/>
                          <w:b/>
                          <w:bCs/>
                          <w:sz w:val="28"/>
                          <w:szCs w:val="28"/>
                        </w:rPr>
                        <w:t>.</w:t>
                      </w:r>
                    </w:p>
                  </w:txbxContent>
                </v:textbox>
                <w10:wrap type="square" anchorx="margin"/>
              </v:shape>
            </w:pict>
          </mc:Fallback>
        </mc:AlternateContent>
      </w:r>
      <w:r w:rsidRPr="00C37E7D">
        <w:rPr>
          <w:rFonts w:ascii="Arial" w:hAnsi="Arial" w:cs="Arial"/>
          <w:color w:val="0563C1" w:themeColor="hyperlink"/>
          <w:szCs w:val="24"/>
          <w:u w:val="single"/>
          <w:lang w:eastAsia="en-US"/>
        </w:rPr>
        <w:t>https://soziales.niedersachsen.de/startseite/kinder_jugend_amp_familie/jugend/jugendarbeit/jugendarbeit-194.html</w:t>
      </w:r>
    </w:p>
    <w:sectPr w:rsidR="0043265D" w:rsidRPr="00C37E7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65D"/>
    <w:rsid w:val="001372D2"/>
    <w:rsid w:val="001D04C5"/>
    <w:rsid w:val="00306FEA"/>
    <w:rsid w:val="003A0B30"/>
    <w:rsid w:val="0043265D"/>
    <w:rsid w:val="004A5EDF"/>
    <w:rsid w:val="005320D2"/>
    <w:rsid w:val="00624555"/>
    <w:rsid w:val="006F121B"/>
    <w:rsid w:val="00897C46"/>
    <w:rsid w:val="00911DD9"/>
    <w:rsid w:val="00A43977"/>
    <w:rsid w:val="00C97DFC"/>
    <w:rsid w:val="00CE3D60"/>
    <w:rsid w:val="00E002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44C5A"/>
  <w15:chartTrackingRefBased/>
  <w15:docId w15:val="{6CEC9B7B-2485-43E7-8BE6-8C0A453CC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3265D"/>
    <w:pPr>
      <w:spacing w:after="0" w:line="240" w:lineRule="auto"/>
    </w:pPr>
    <w:rPr>
      <w:rFonts w:ascii="Times New Roman" w:hAnsi="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326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45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1885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Kühn</dc:creator>
  <cp:keywords/>
  <dc:description/>
  <cp:lastModifiedBy>Andrea Kühn</cp:lastModifiedBy>
  <cp:revision>5</cp:revision>
  <dcterms:created xsi:type="dcterms:W3CDTF">2021-02-01T10:10:00Z</dcterms:created>
  <dcterms:modified xsi:type="dcterms:W3CDTF">2021-02-01T11:26:00Z</dcterms:modified>
</cp:coreProperties>
</file>