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207"/>
      </w:tblGrid>
      <w:tr w:rsidR="008A5E5F" w:rsidRPr="008A5E5F" w14:paraId="51828056" w14:textId="77777777" w:rsidTr="002A56B9">
        <w:trPr>
          <w:gridBefore w:val="1"/>
          <w:wBefore w:w="10" w:type="dxa"/>
          <w:trHeight w:val="454"/>
        </w:trPr>
        <w:tc>
          <w:tcPr>
            <w:tcW w:w="2943" w:type="dxa"/>
            <w:vAlign w:val="center"/>
          </w:tcPr>
          <w:p w14:paraId="2EC9B563" w14:textId="77777777" w:rsidR="008A5E5F" w:rsidRPr="008A5E5F" w:rsidRDefault="008A5E5F" w:rsidP="008A5E5F">
            <w:pPr>
              <w:spacing w:after="160" w:line="259" w:lineRule="auto"/>
            </w:pPr>
            <w:r w:rsidRPr="008A5E5F">
              <w:t>Beruf/Bildungsgang:</w:t>
            </w:r>
          </w:p>
        </w:tc>
        <w:tc>
          <w:tcPr>
            <w:tcW w:w="4049" w:type="dxa"/>
            <w:vAlign w:val="center"/>
          </w:tcPr>
          <w:p w14:paraId="0B4056F5" w14:textId="43EC2E75" w:rsidR="008A5E5F" w:rsidRPr="008A5E5F" w:rsidRDefault="00435A34" w:rsidP="008A5E5F">
            <w:r>
              <w:t>Fachschule Technik</w:t>
            </w:r>
          </w:p>
        </w:tc>
        <w:tc>
          <w:tcPr>
            <w:tcW w:w="2207" w:type="dxa"/>
            <w:vMerge w:val="restart"/>
            <w:vAlign w:val="center"/>
          </w:tcPr>
          <w:p w14:paraId="240E1461" w14:textId="56BF1D36" w:rsidR="005E6E44" w:rsidRDefault="005E6E44" w:rsidP="003B1829">
            <w:r>
              <w:rPr>
                <w:noProof/>
              </w:rPr>
              <w:drawing>
                <wp:anchor distT="0" distB="0" distL="114300" distR="114300" simplePos="0" relativeHeight="251663360" behindDoc="0" locked="0" layoutInCell="1" allowOverlap="1" wp14:anchorId="76596D79" wp14:editId="4A0E066C">
                  <wp:simplePos x="0" y="0"/>
                  <wp:positionH relativeFrom="column">
                    <wp:posOffset>-47625</wp:posOffset>
                  </wp:positionH>
                  <wp:positionV relativeFrom="paragraph">
                    <wp:posOffset>-36830</wp:posOffset>
                  </wp:positionV>
                  <wp:extent cx="1299210" cy="105473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m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9210" cy="1054735"/>
                          </a:xfrm>
                          <a:prstGeom prst="rect">
                            <a:avLst/>
                          </a:prstGeom>
                        </pic:spPr>
                      </pic:pic>
                    </a:graphicData>
                  </a:graphic>
                  <wp14:sizeRelH relativeFrom="page">
                    <wp14:pctWidth>0</wp14:pctWidth>
                  </wp14:sizeRelH>
                  <wp14:sizeRelV relativeFrom="page">
                    <wp14:pctHeight>0</wp14:pctHeight>
                  </wp14:sizeRelV>
                </wp:anchor>
              </w:drawing>
            </w:r>
          </w:p>
          <w:p w14:paraId="218F9E15" w14:textId="71EBDAAC" w:rsidR="005E6E44" w:rsidRDefault="005E6E44" w:rsidP="003B1829"/>
          <w:p w14:paraId="0F716977" w14:textId="7DBE80E5" w:rsidR="005E6E44" w:rsidRDefault="005E6E44" w:rsidP="003B1829"/>
          <w:p w14:paraId="38BFBFF5" w14:textId="77777777" w:rsidR="005E6E44" w:rsidRDefault="005E6E44" w:rsidP="003B1829"/>
          <w:p w14:paraId="74BFF26D" w14:textId="77777777" w:rsidR="005E6E44" w:rsidRDefault="005E6E44" w:rsidP="003B1829"/>
          <w:p w14:paraId="3BD3A430" w14:textId="77777777" w:rsidR="005E6E44" w:rsidRDefault="005E6E44" w:rsidP="003B1829"/>
          <w:p w14:paraId="3E54AD20" w14:textId="71EFB207" w:rsidR="008A5E5F" w:rsidRPr="008A5E5F" w:rsidRDefault="003316D0" w:rsidP="003B1829">
            <w:r w:rsidRPr="005E6E44">
              <w:rPr>
                <w:noProof/>
                <w:sz w:val="16"/>
                <w:szCs w:val="16"/>
              </w:rPr>
              <w:drawing>
                <wp:anchor distT="0" distB="0" distL="114300" distR="114300" simplePos="0" relativeHeight="251661312" behindDoc="0" locked="0" layoutInCell="1" allowOverlap="1" wp14:anchorId="7DEF647E" wp14:editId="0C4A017F">
                  <wp:simplePos x="0" y="0"/>
                  <wp:positionH relativeFrom="column">
                    <wp:posOffset>-1000622840</wp:posOffset>
                  </wp:positionH>
                  <wp:positionV relativeFrom="paragraph">
                    <wp:posOffset>-96479995</wp:posOffset>
                  </wp:positionV>
                  <wp:extent cx="1301319" cy="105407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m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5655" cy="1057582"/>
                          </a:xfrm>
                          <a:prstGeom prst="rect">
                            <a:avLst/>
                          </a:prstGeom>
                        </pic:spPr>
                      </pic:pic>
                    </a:graphicData>
                  </a:graphic>
                  <wp14:sizeRelH relativeFrom="page">
                    <wp14:pctWidth>0</wp14:pctWidth>
                  </wp14:sizeRelH>
                  <wp14:sizeRelV relativeFrom="page">
                    <wp14:pctHeight>0</wp14:pctHeight>
                  </wp14:sizeRelV>
                </wp:anchor>
              </w:drawing>
            </w:r>
            <w:hyperlink r:id="rId8" w:history="1">
              <w:r w:rsidR="005E6E44" w:rsidRPr="005E6E44">
                <w:rPr>
                  <w:rStyle w:val="Hyperlink"/>
                  <w:rFonts w:asciiTheme="minorHAnsi" w:hAnsiTheme="minorHAnsi"/>
                  <w:sz w:val="16"/>
                  <w:szCs w:val="16"/>
                </w:rPr>
                <w:t>www.smartfactorymodel.de</w:t>
              </w:r>
            </w:hyperlink>
            <w:r w:rsidR="005E6E44" w:rsidRPr="005E6E44">
              <w:rPr>
                <w:sz w:val="16"/>
                <w:szCs w:val="16"/>
              </w:rPr>
              <w:t xml:space="preserve"> </w:t>
            </w:r>
          </w:p>
        </w:tc>
      </w:tr>
      <w:tr w:rsidR="008A5E5F" w:rsidRPr="008A5E5F" w14:paraId="04D47714" w14:textId="77777777" w:rsidTr="002A56B9">
        <w:trPr>
          <w:gridBefore w:val="1"/>
          <w:wBefore w:w="10" w:type="dxa"/>
        </w:trPr>
        <w:tc>
          <w:tcPr>
            <w:tcW w:w="2943" w:type="dxa"/>
            <w:vAlign w:val="center"/>
          </w:tcPr>
          <w:p w14:paraId="168249AC" w14:textId="77777777" w:rsidR="008A5E5F" w:rsidRPr="008A5E5F" w:rsidRDefault="008A5E5F" w:rsidP="008A5E5F">
            <w:pPr>
              <w:rPr>
                <w:b/>
              </w:rPr>
            </w:pPr>
            <w:r w:rsidRPr="008A5E5F">
              <w:rPr>
                <w:b/>
              </w:rPr>
              <w:t>Curricularer Bezug:</w:t>
            </w:r>
          </w:p>
        </w:tc>
        <w:tc>
          <w:tcPr>
            <w:tcW w:w="4049" w:type="dxa"/>
            <w:vAlign w:val="center"/>
          </w:tcPr>
          <w:p w14:paraId="7C6E2894" w14:textId="7F16B5FF" w:rsidR="00A76297" w:rsidRDefault="00A76297" w:rsidP="00A76297">
            <w:r>
              <w:t>Rahmenrichtlinien für den berufsbezogenen Lernbereich in der Fachschule Fachbereich Technik</w:t>
            </w:r>
          </w:p>
          <w:p w14:paraId="1F510A94" w14:textId="77777777" w:rsidR="008A5E5F" w:rsidRPr="008A5E5F" w:rsidRDefault="008A5E5F" w:rsidP="008A5E5F"/>
        </w:tc>
        <w:tc>
          <w:tcPr>
            <w:tcW w:w="2207" w:type="dxa"/>
            <w:vMerge/>
            <w:vAlign w:val="center"/>
          </w:tcPr>
          <w:p w14:paraId="030F80FF" w14:textId="77777777" w:rsidR="008A5E5F" w:rsidRPr="008A5E5F" w:rsidRDefault="008A5E5F" w:rsidP="008A5E5F"/>
        </w:tc>
      </w:tr>
      <w:tr w:rsidR="008A5E5F" w:rsidRPr="008A5E5F" w14:paraId="3DE94175" w14:textId="77777777" w:rsidTr="002A56B9">
        <w:trPr>
          <w:gridBefore w:val="1"/>
          <w:wBefore w:w="10" w:type="dxa"/>
        </w:trPr>
        <w:tc>
          <w:tcPr>
            <w:tcW w:w="2943" w:type="dxa"/>
            <w:vAlign w:val="center"/>
          </w:tcPr>
          <w:p w14:paraId="65E8F5D5" w14:textId="77777777" w:rsidR="008A5E5F" w:rsidRPr="008A5E5F" w:rsidRDefault="008A5E5F" w:rsidP="008A5E5F">
            <w:pPr>
              <w:rPr>
                <w:b/>
              </w:rPr>
            </w:pPr>
            <w:r w:rsidRPr="008A5E5F">
              <w:rPr>
                <w:b/>
              </w:rPr>
              <w:t>Lernfeld xx:</w:t>
            </w:r>
          </w:p>
        </w:tc>
        <w:tc>
          <w:tcPr>
            <w:tcW w:w="4049" w:type="dxa"/>
            <w:vAlign w:val="center"/>
          </w:tcPr>
          <w:p w14:paraId="352BECB9" w14:textId="3DA153A4" w:rsidR="008A5E5F" w:rsidRPr="008A5E5F" w:rsidRDefault="00435A34" w:rsidP="008A5E5F">
            <w:r>
              <w:t>Modul 4 Technische Lösungen oder Prozesse optimieren</w:t>
            </w:r>
          </w:p>
        </w:tc>
        <w:tc>
          <w:tcPr>
            <w:tcW w:w="2207" w:type="dxa"/>
            <w:vMerge/>
            <w:vAlign w:val="center"/>
          </w:tcPr>
          <w:p w14:paraId="71254587" w14:textId="77777777" w:rsidR="008A5E5F" w:rsidRPr="008A5E5F" w:rsidRDefault="008A5E5F" w:rsidP="008A5E5F"/>
        </w:tc>
      </w:tr>
      <w:tr w:rsidR="008A5E5F" w:rsidRPr="008A5E5F" w14:paraId="61AC1232" w14:textId="77777777" w:rsidTr="002A56B9">
        <w:trPr>
          <w:gridBefore w:val="1"/>
          <w:wBefore w:w="10" w:type="dxa"/>
        </w:trPr>
        <w:tc>
          <w:tcPr>
            <w:tcW w:w="2943" w:type="dxa"/>
            <w:vAlign w:val="center"/>
          </w:tcPr>
          <w:p w14:paraId="3880F142" w14:textId="77777777" w:rsidR="008A5E5F" w:rsidRPr="008A5E5F" w:rsidRDefault="008A5E5F" w:rsidP="008A5E5F">
            <w:pPr>
              <w:rPr>
                <w:b/>
              </w:rPr>
            </w:pPr>
            <w:r w:rsidRPr="008A5E5F">
              <w:rPr>
                <w:b/>
              </w:rPr>
              <w:t>Titel der Lernsituation</w:t>
            </w:r>
          </w:p>
        </w:tc>
        <w:tc>
          <w:tcPr>
            <w:tcW w:w="4049" w:type="dxa"/>
            <w:vMerge w:val="restart"/>
            <w:vAlign w:val="center"/>
          </w:tcPr>
          <w:p w14:paraId="45B43CF4" w14:textId="68E2FAEA" w:rsidR="008A5E5F" w:rsidRPr="008A5E5F" w:rsidRDefault="00042A8D" w:rsidP="008A5E5F">
            <w:r w:rsidRPr="00A10E42">
              <w:t>Automatisierungsprojekte planen</w:t>
            </w:r>
          </w:p>
        </w:tc>
        <w:tc>
          <w:tcPr>
            <w:tcW w:w="2207" w:type="dxa"/>
            <w:vMerge w:val="restart"/>
            <w:vAlign w:val="center"/>
          </w:tcPr>
          <w:p w14:paraId="2E933D86" w14:textId="5631FE35" w:rsidR="008A5E5F" w:rsidRPr="008A5E5F" w:rsidRDefault="008A5E5F" w:rsidP="008A5E5F">
            <w:r w:rsidRPr="008A5E5F">
              <w:t xml:space="preserve">Geplanter Zeitrichtwert: </w:t>
            </w:r>
            <w:r w:rsidR="00435A34">
              <w:t>10</w:t>
            </w:r>
            <w:r w:rsidR="000547B6">
              <w:t xml:space="preserve"> </w:t>
            </w:r>
            <w:r w:rsidRPr="008A5E5F">
              <w:t>Std</w:t>
            </w:r>
          </w:p>
        </w:tc>
      </w:tr>
      <w:tr w:rsidR="00B23A4F" w:rsidRPr="008A5E5F" w14:paraId="6FCE4A14" w14:textId="77777777" w:rsidTr="000027A4">
        <w:trPr>
          <w:gridBefore w:val="1"/>
          <w:wBefore w:w="10" w:type="dxa"/>
        </w:trPr>
        <w:tc>
          <w:tcPr>
            <w:tcW w:w="2943" w:type="dxa"/>
            <w:vAlign w:val="center"/>
          </w:tcPr>
          <w:p w14:paraId="2143042C" w14:textId="77777777" w:rsidR="00B23A4F" w:rsidRPr="008A5E5F" w:rsidRDefault="00B23A4F" w:rsidP="008A5E5F">
            <w:pPr>
              <w:rPr>
                <w:b/>
              </w:rPr>
            </w:pPr>
          </w:p>
        </w:tc>
        <w:tc>
          <w:tcPr>
            <w:tcW w:w="4049" w:type="dxa"/>
            <w:vMerge/>
            <w:vAlign w:val="center"/>
          </w:tcPr>
          <w:p w14:paraId="2303D711" w14:textId="77777777" w:rsidR="00B23A4F" w:rsidRPr="008A5E5F" w:rsidRDefault="00B23A4F" w:rsidP="008A5E5F"/>
        </w:tc>
        <w:tc>
          <w:tcPr>
            <w:tcW w:w="2207" w:type="dxa"/>
            <w:vMerge/>
            <w:vAlign w:val="center"/>
          </w:tcPr>
          <w:p w14:paraId="655E5ACD" w14:textId="77777777" w:rsidR="00B23A4F" w:rsidRPr="008A5E5F" w:rsidRDefault="00B23A4F" w:rsidP="008A5E5F"/>
        </w:tc>
      </w:tr>
      <w:tr w:rsidR="008A5E5F" w:rsidRPr="008A5E5F" w14:paraId="1A151958" w14:textId="77777777" w:rsidTr="002A56B9">
        <w:trPr>
          <w:gridBefore w:val="1"/>
          <w:wBefore w:w="10" w:type="dxa"/>
          <w:trHeight w:val="397"/>
        </w:trPr>
        <w:tc>
          <w:tcPr>
            <w:tcW w:w="9199" w:type="dxa"/>
            <w:gridSpan w:val="3"/>
            <w:vAlign w:val="center"/>
          </w:tcPr>
          <w:p w14:paraId="57FCD8C6" w14:textId="3AED9CA4" w:rsidR="008A5E5F" w:rsidRPr="008A5E5F" w:rsidRDefault="008A5E5F" w:rsidP="008A5E5F">
            <w:r w:rsidRPr="008A5E5F">
              <w:rPr>
                <w:b/>
              </w:rPr>
              <w:t>Autorin/Autor:</w:t>
            </w:r>
            <w:r w:rsidR="009B4095">
              <w:rPr>
                <w:b/>
              </w:rPr>
              <w:t xml:space="preserve"> Stefan Sayk (stefan.sayk@rlsb.de)</w:t>
            </w:r>
          </w:p>
        </w:tc>
      </w:tr>
      <w:tr w:rsidR="008A5E5F" w:rsidRPr="008A5E5F" w14:paraId="03DD7551"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367A10A6" w14:textId="552086F4" w:rsidR="008A5E5F" w:rsidRPr="008A5E5F" w:rsidRDefault="008A5E5F" w:rsidP="008A5E5F">
            <w:r w:rsidRPr="008A5E5F">
              <w:rPr>
                <w:b/>
              </w:rPr>
              <w:t>Handlungssituation:</w:t>
            </w:r>
          </w:p>
        </w:tc>
      </w:tr>
      <w:tr w:rsidR="008A5E5F" w:rsidRPr="008A5E5F" w14:paraId="4E071D03"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0FDDC0E6" w14:textId="79D5FF74" w:rsidR="00042A8D" w:rsidRDefault="00042A8D" w:rsidP="00626C39">
            <w:pPr>
              <w:rPr>
                <w:noProof/>
              </w:rPr>
            </w:pPr>
            <w:r>
              <w:t>In Ihrer Firma werden Handlingsysteme für unterschiedlichste Anwendungen entwickelt. Zu den Kunden gehören unter anderem auch analytische Chemielabore, die sich z.B. auf Routineanalytik spezialisiert haben. Ein Beispiel ist ein Probenwechsler zum vollautomatischen Titrieren zur Bestimmung des pH-Wertes bei Wasseranalysen, wie sie in großem Umfang bei der Wasseraufbereitung anfallen.</w:t>
            </w:r>
            <w:r w:rsidR="003316D0">
              <w:rPr>
                <w:noProof/>
              </w:rPr>
              <w:t xml:space="preserve"> </w:t>
            </w:r>
          </w:p>
          <w:p w14:paraId="21B5F9F5" w14:textId="77777777" w:rsidR="00626C39" w:rsidRDefault="00626C39" w:rsidP="00626C39"/>
          <w:p w14:paraId="60F50B65" w14:textId="0C7E6664" w:rsidR="00042A8D" w:rsidRDefault="00042A8D" w:rsidP="00042A8D">
            <w:r>
              <w:rPr>
                <w:noProof/>
              </w:rPr>
              <w:drawing>
                <wp:anchor distT="0" distB="0" distL="114300" distR="114300" simplePos="0" relativeHeight="251659264" behindDoc="0" locked="0" layoutInCell="1" allowOverlap="1" wp14:anchorId="5D577E20" wp14:editId="2F3962F3">
                  <wp:simplePos x="0" y="0"/>
                  <wp:positionH relativeFrom="margin">
                    <wp:posOffset>-1905</wp:posOffset>
                  </wp:positionH>
                  <wp:positionV relativeFrom="margin">
                    <wp:posOffset>1176020</wp:posOffset>
                  </wp:positionV>
                  <wp:extent cx="3022600" cy="3550920"/>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l="26913" r="21812" b="7986"/>
                          <a:stretch>
                            <a:fillRect/>
                          </a:stretch>
                        </pic:blipFill>
                        <pic:spPr bwMode="auto">
                          <a:xfrm>
                            <a:off x="0" y="0"/>
                            <a:ext cx="3022600" cy="3550920"/>
                          </a:xfrm>
                          <a:prstGeom prst="rect">
                            <a:avLst/>
                          </a:prstGeom>
                          <a:noFill/>
                        </pic:spPr>
                      </pic:pic>
                    </a:graphicData>
                  </a:graphic>
                  <wp14:sizeRelH relativeFrom="page">
                    <wp14:pctWidth>0</wp14:pctWidth>
                  </wp14:sizeRelH>
                  <wp14:sizeRelV relativeFrom="page">
                    <wp14:pctHeight>0</wp14:pctHeight>
                  </wp14:sizeRelV>
                </wp:anchor>
              </w:drawing>
            </w:r>
            <w:r>
              <w:t xml:space="preserve">Sie werden mit der Automatisierung eines neuen, kompakten 3-Achsen Raumportals betraut. Das Handhabungssystem wird Ihnen fertig aufgebaut mit allen technischen Unterlagen vom Maschinenbau zur Verfügung gestellt. </w:t>
            </w:r>
          </w:p>
          <w:p w14:paraId="33C3105D" w14:textId="2387453F" w:rsidR="00042A8D" w:rsidRDefault="00042A8D" w:rsidP="00042A8D">
            <w:r>
              <w:t xml:space="preserve">Als neuer leitender Mitarbeiter sollen sie auch neue strukturelle Ideen in die Abteilung der Automatisierungstechnik einbringen. Informieren sie sich über den aktuellen Stand der unterschiedlichen Projektmanagementtechniken und wählen Sie für die Firma ein geeignetes Vorgehen aus. Erproben Sie das gewählte </w:t>
            </w:r>
            <w:r w:rsidR="005E6E44">
              <w:t>Managementmodell,</w:t>
            </w:r>
            <w:r>
              <w:t xml:space="preserve"> indem Sie die erste Analyse-Phase konkret am Projekt des Probenwechslers durchlaufen</w:t>
            </w:r>
            <w:r w:rsidR="00626C39">
              <w:t xml:space="preserve"> und eine Belegungsliste für die SPS (E/A-Planung) erstellen.</w:t>
            </w:r>
          </w:p>
          <w:p w14:paraId="61EA6310" w14:textId="77777777" w:rsidR="008A5E5F" w:rsidRDefault="008A5E5F" w:rsidP="008A5E5F"/>
          <w:p w14:paraId="77E75751" w14:textId="77777777" w:rsidR="002A56B9" w:rsidRDefault="002A56B9" w:rsidP="008A5E5F"/>
          <w:p w14:paraId="010DBDF5" w14:textId="77777777" w:rsidR="002A56B9" w:rsidRDefault="002A56B9" w:rsidP="008A5E5F"/>
          <w:p w14:paraId="073D197A" w14:textId="77777777" w:rsidR="002A56B9" w:rsidRPr="008A5E5F" w:rsidRDefault="002A56B9" w:rsidP="008A5E5F"/>
        </w:tc>
      </w:tr>
      <w:tr w:rsidR="008A5E5F" w:rsidRPr="008A5E5F" w14:paraId="0D8A016A"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01F0CA35" w14:textId="77777777" w:rsidR="008A5E5F" w:rsidRPr="008A5E5F" w:rsidRDefault="008A5E5F" w:rsidP="008A5E5F">
            <w:pPr>
              <w:rPr>
                <w:b/>
              </w:rPr>
            </w:pPr>
            <w:r w:rsidRPr="008A5E5F">
              <w:rPr>
                <w:b/>
              </w:rPr>
              <w:t>Handlungsergebnis:</w:t>
            </w:r>
          </w:p>
        </w:tc>
      </w:tr>
      <w:tr w:rsidR="008A5E5F" w:rsidRPr="008A5E5F" w14:paraId="34CC7C30"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5B6E62AD" w14:textId="6B7AB61E" w:rsidR="002A56B9" w:rsidRPr="008A5E5F" w:rsidRDefault="00626C39" w:rsidP="003316D0">
            <w:pPr>
              <w:pStyle w:val="Listenabsatz"/>
              <w:numPr>
                <w:ilvl w:val="0"/>
                <w:numId w:val="5"/>
              </w:numPr>
            </w:pPr>
            <w:r>
              <w:t>Erstellen einer Belegungsliste für die SPS (E/A-Planung)</w:t>
            </w:r>
          </w:p>
        </w:tc>
      </w:tr>
      <w:tr w:rsidR="008A5E5F" w:rsidRPr="008A5E5F" w14:paraId="57F034EF"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23C50226" w14:textId="77777777" w:rsidR="008A5E5F" w:rsidRPr="008A5E5F" w:rsidRDefault="008A5E5F" w:rsidP="008A5E5F">
            <w:pPr>
              <w:rPr>
                <w:b/>
              </w:rPr>
            </w:pPr>
            <w:r w:rsidRPr="008A5E5F">
              <w:rPr>
                <w:b/>
              </w:rPr>
              <w:t>Inhalte:</w:t>
            </w:r>
          </w:p>
        </w:tc>
      </w:tr>
      <w:tr w:rsidR="008A5E5F" w:rsidRPr="008A5E5F" w14:paraId="6403529F"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74141129" w14:textId="77777777" w:rsidR="00042A8D" w:rsidRDefault="00042A8D" w:rsidP="00042A8D">
            <w:pPr>
              <w:pStyle w:val="Listenabsatz"/>
              <w:numPr>
                <w:ilvl w:val="0"/>
                <w:numId w:val="5"/>
              </w:numPr>
            </w:pPr>
            <w:r>
              <w:t>Automatisierungsprojekte, Projektmanagement (V-Modell, iterativ, agil)</w:t>
            </w:r>
          </w:p>
          <w:p w14:paraId="40E34AFB" w14:textId="77777777" w:rsidR="00042A8D" w:rsidRDefault="00042A8D" w:rsidP="00042A8D">
            <w:pPr>
              <w:pStyle w:val="Listenabsatz"/>
              <w:numPr>
                <w:ilvl w:val="0"/>
                <w:numId w:val="5"/>
              </w:numPr>
            </w:pPr>
            <w:r>
              <w:t>Analysephase in Automatisierungsprojekten</w:t>
            </w:r>
          </w:p>
          <w:p w14:paraId="6AC0470A" w14:textId="77777777" w:rsidR="00042A8D" w:rsidRDefault="00042A8D" w:rsidP="00042A8D">
            <w:pPr>
              <w:pStyle w:val="Listenabsatz"/>
              <w:numPr>
                <w:ilvl w:val="0"/>
                <w:numId w:val="5"/>
              </w:numPr>
            </w:pPr>
            <w:r>
              <w:t>Hardwareanalyse (Sensoren, Aktoren, SPS, Energieversorgung, Bussysteme)</w:t>
            </w:r>
          </w:p>
          <w:p w14:paraId="6D722BE3" w14:textId="77777777" w:rsidR="00042A8D" w:rsidRDefault="00042A8D" w:rsidP="00042A8D">
            <w:pPr>
              <w:pStyle w:val="Listenabsatz"/>
              <w:numPr>
                <w:ilvl w:val="0"/>
                <w:numId w:val="5"/>
              </w:numPr>
            </w:pPr>
            <w:r>
              <w:t>Stromlaufpläne</w:t>
            </w:r>
          </w:p>
          <w:p w14:paraId="500A9AD3" w14:textId="77777777" w:rsidR="00042A8D" w:rsidRDefault="00042A8D" w:rsidP="00042A8D">
            <w:pPr>
              <w:pStyle w:val="Listenabsatz"/>
              <w:numPr>
                <w:ilvl w:val="0"/>
                <w:numId w:val="5"/>
              </w:numPr>
            </w:pPr>
            <w:r>
              <w:t>BMK (Betriebsmittelkennzeichnung), Anschlusskennzeichnung</w:t>
            </w:r>
          </w:p>
          <w:p w14:paraId="41E27821" w14:textId="77777777" w:rsidR="00042A8D" w:rsidRDefault="00042A8D" w:rsidP="00042A8D">
            <w:pPr>
              <w:pStyle w:val="Listenabsatz"/>
              <w:numPr>
                <w:ilvl w:val="0"/>
                <w:numId w:val="5"/>
              </w:numPr>
            </w:pPr>
            <w:r>
              <w:t>EVA Prinzip</w:t>
            </w:r>
          </w:p>
          <w:p w14:paraId="28275DE9" w14:textId="77777777" w:rsidR="00042A8D" w:rsidRDefault="00042A8D" w:rsidP="00042A8D">
            <w:pPr>
              <w:pStyle w:val="Listenabsatz"/>
              <w:numPr>
                <w:ilvl w:val="0"/>
                <w:numId w:val="5"/>
              </w:numPr>
            </w:pPr>
            <w:r>
              <w:t>EA-Planung</w:t>
            </w:r>
          </w:p>
          <w:p w14:paraId="352B9974" w14:textId="77777777" w:rsidR="008A5E5F" w:rsidRDefault="008A5E5F" w:rsidP="008A5E5F"/>
          <w:p w14:paraId="64AACECE" w14:textId="77777777" w:rsidR="002A56B9" w:rsidRDefault="002A56B9" w:rsidP="008A5E5F"/>
          <w:p w14:paraId="07CCA29C" w14:textId="77777777" w:rsidR="002A56B9" w:rsidRDefault="002A56B9" w:rsidP="008A5E5F"/>
          <w:p w14:paraId="5086F21E" w14:textId="77777777" w:rsidR="002A56B9" w:rsidRPr="008A5E5F" w:rsidRDefault="002A56B9" w:rsidP="008A5E5F"/>
        </w:tc>
      </w:tr>
      <w:tr w:rsidR="008A5E5F" w:rsidRPr="008A5E5F" w14:paraId="12FC2D18"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14:paraId="6E8582EA" w14:textId="77777777" w:rsidR="008A5E5F" w:rsidRPr="008A5E5F" w:rsidRDefault="008A5E5F" w:rsidP="008A5E5F">
            <w:pPr>
              <w:rPr>
                <w:b/>
              </w:rPr>
            </w:pPr>
            <w:r w:rsidRPr="008A5E5F">
              <w:rPr>
                <w:b/>
              </w:rPr>
              <w:lastRenderedPageBreak/>
              <w:t>Schulische Entscheidungen:</w:t>
            </w:r>
          </w:p>
        </w:tc>
      </w:tr>
      <w:tr w:rsidR="008A5E5F" w:rsidRPr="008A5E5F" w14:paraId="62E91BFA"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6A84BBD2" w14:textId="582330D0" w:rsidR="00042A8D" w:rsidRDefault="00042A8D" w:rsidP="00042A8D">
            <w:pPr>
              <w:pStyle w:val="Listenabsatz"/>
              <w:numPr>
                <w:ilvl w:val="0"/>
                <w:numId w:val="5"/>
              </w:numPr>
            </w:pPr>
            <w:r>
              <w:t xml:space="preserve">Nutzung </w:t>
            </w:r>
            <w:r w:rsidR="00626C39">
              <w:t>der</w:t>
            </w:r>
            <w:r>
              <w:t xml:space="preserve"> Module des Smart Factory Modells</w:t>
            </w:r>
            <w:r w:rsidR="00626C39">
              <w:t xml:space="preserve"> in einem hybriden handlungsorientierten online Unterricht. (siehe Hinweise Distanzunterricht)</w:t>
            </w:r>
          </w:p>
          <w:p w14:paraId="6F5A9C5A" w14:textId="77777777" w:rsidR="008A5E5F" w:rsidRDefault="008A5E5F" w:rsidP="008A5E5F"/>
          <w:p w14:paraId="022D101A" w14:textId="77777777" w:rsidR="002A56B9" w:rsidRDefault="002A56B9" w:rsidP="008A5E5F"/>
          <w:p w14:paraId="15CF5C09" w14:textId="77777777" w:rsidR="002A56B9" w:rsidRDefault="002A56B9" w:rsidP="008A5E5F"/>
          <w:p w14:paraId="4F0A8DA7" w14:textId="77777777" w:rsidR="002A56B9" w:rsidRPr="008A5E5F" w:rsidRDefault="002A56B9" w:rsidP="008A5E5F"/>
        </w:tc>
      </w:tr>
      <w:tr w:rsidR="008A5E5F" w:rsidRPr="008A5E5F" w14:paraId="5FC03456"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14:paraId="23E33DA2" w14:textId="77777777" w:rsidR="008A5E5F" w:rsidRPr="008A5E5F" w:rsidRDefault="008A5E5F" w:rsidP="008A5E5F">
            <w:pPr>
              <w:rPr>
                <w:b/>
              </w:rPr>
            </w:pPr>
            <w:r w:rsidRPr="008A5E5F">
              <w:rPr>
                <w:b/>
              </w:rPr>
              <w:t>Hinweise Distanzunterricht:</w:t>
            </w:r>
          </w:p>
        </w:tc>
      </w:tr>
      <w:tr w:rsidR="008A5E5F" w:rsidRPr="008A5E5F" w14:paraId="25F3AD89"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14:paraId="0038B9C5" w14:textId="77777777" w:rsidR="007D5A6D" w:rsidRDefault="007D5A6D" w:rsidP="00F35E27">
            <w:pPr>
              <w:jc w:val="center"/>
            </w:pPr>
            <w:r>
              <w:rPr>
                <w:noProof/>
              </w:rPr>
              <w:drawing>
                <wp:inline distT="0" distB="0" distL="0" distR="0" wp14:anchorId="48F41EBC" wp14:editId="6A9BE02F">
                  <wp:extent cx="3272590" cy="1836447"/>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92908" cy="1847848"/>
                          </a:xfrm>
                          <a:prstGeom prst="rect">
                            <a:avLst/>
                          </a:prstGeom>
                        </pic:spPr>
                      </pic:pic>
                    </a:graphicData>
                  </a:graphic>
                </wp:inline>
              </w:drawing>
            </w:r>
          </w:p>
          <w:p w14:paraId="518C3295" w14:textId="77777777" w:rsidR="007D5A6D" w:rsidRDefault="007D5A6D" w:rsidP="008A5E5F"/>
          <w:p w14:paraId="6BA4A1D4" w14:textId="1B3B6B33" w:rsidR="008A5E5F" w:rsidRDefault="006F6576" w:rsidP="008A5E5F">
            <w:r w:rsidRPr="006F6576">
              <w:t>Mit dem HHO Konzept „Hybrid, Handlungsorientiert, Online“, lassen sich vorhandene Lernsituationen, hervorragend auch aus der Distanz unterrichten. Gerade im Szenario B lassen sich handlungsorientierte Unterrichtskonzepte, 1 zu 1 abbilden und ohne didaktische oder organisatorische Veränderungen durchführen. Mehr Infos unter</w:t>
            </w:r>
            <w:r w:rsidR="007D5A6D">
              <w:t xml:space="preserve"> </w:t>
            </w:r>
            <w:hyperlink r:id="rId11" w:history="1">
              <w:r w:rsidR="007D5A6D" w:rsidRPr="007D5A6D">
                <w:rPr>
                  <w:rStyle w:val="Hyperlink"/>
                  <w:rFonts w:asciiTheme="minorHAnsi" w:hAnsiTheme="minorHAnsi"/>
                </w:rPr>
                <w:t>https://youtu.be/oelK9cl-</w:t>
              </w:r>
              <w:r w:rsidR="007D5A6D" w:rsidRPr="007D5A6D">
                <w:rPr>
                  <w:rStyle w:val="Hyperlink"/>
                </w:rPr>
                <w:t>Sn0</w:t>
              </w:r>
            </w:hyperlink>
            <w:r w:rsidR="007D5A6D" w:rsidRPr="007D5A6D">
              <w:t xml:space="preserve"> </w:t>
            </w:r>
          </w:p>
          <w:p w14:paraId="25E13302" w14:textId="54B5EA85" w:rsidR="002A56B9" w:rsidRDefault="002A56B9" w:rsidP="008A5E5F"/>
          <w:p w14:paraId="61F2CD30" w14:textId="1426C8E7" w:rsidR="007D5A6D" w:rsidRDefault="00B160E8" w:rsidP="008A5E5F">
            <w:r>
              <w:t>Zudem gibt es für diese LS auch einen moodle Kurs „A-1-G Besichtigung der Anlage“</w:t>
            </w:r>
            <w:r w:rsidR="005E6E44">
              <w:t>,</w:t>
            </w:r>
            <w:r>
              <w:t xml:space="preserve"> den der Student Tony Lenter im Rahmen seiner Bachelorarbeit </w:t>
            </w:r>
            <w:r w:rsidR="00094EDC">
              <w:t xml:space="preserve">an der Hochschule Osnabrück </w:t>
            </w:r>
            <w:r>
              <w:t xml:space="preserve">erstellt hat. </w:t>
            </w:r>
            <w:r w:rsidR="00094EDC">
              <w:t xml:space="preserve">Gerne können Sie bei Interesse diesen </w:t>
            </w:r>
            <w:r>
              <w:t xml:space="preserve">Kurs </w:t>
            </w:r>
            <w:r w:rsidR="00094EDC">
              <w:t>online einsehen.</w:t>
            </w:r>
            <w:r>
              <w:t xml:space="preserve"> </w:t>
            </w:r>
            <w:r w:rsidR="00094EDC">
              <w:t>Login und Passwort</w:t>
            </w:r>
            <w:r>
              <w:t xml:space="preserve"> </w:t>
            </w:r>
            <w:r w:rsidR="00094EDC">
              <w:t>beantragen</w:t>
            </w:r>
            <w:r>
              <w:t xml:space="preserve"> Sie gerne bei Prof. Dr.-Ing. Harald Strating </w:t>
            </w:r>
            <w:r w:rsidR="00094EDC">
              <w:t>oder mir</w:t>
            </w:r>
            <w:r w:rsidR="00F35E27">
              <w:t>.</w:t>
            </w:r>
          </w:p>
          <w:p w14:paraId="04EB46A2" w14:textId="51015598" w:rsidR="00F35E27" w:rsidRDefault="00F35E27" w:rsidP="008A5E5F"/>
          <w:p w14:paraId="6F86EB09" w14:textId="78F46009" w:rsidR="002A56B9" w:rsidRPr="008A5E5F" w:rsidRDefault="00F35E27" w:rsidP="008A5E5F">
            <w:r>
              <w:rPr>
                <w:noProof/>
              </w:rPr>
              <w:lastRenderedPageBreak/>
              <w:drawing>
                <wp:anchor distT="0" distB="0" distL="114300" distR="114300" simplePos="0" relativeHeight="251665408" behindDoc="0" locked="0" layoutInCell="1" allowOverlap="1" wp14:anchorId="1190D18C" wp14:editId="7BC39DA8">
                  <wp:simplePos x="0" y="0"/>
                  <wp:positionH relativeFrom="column">
                    <wp:posOffset>0</wp:posOffset>
                  </wp:positionH>
                  <wp:positionV relativeFrom="paragraph">
                    <wp:posOffset>173990</wp:posOffset>
                  </wp:positionV>
                  <wp:extent cx="5710555" cy="4391025"/>
                  <wp:effectExtent l="0" t="0" r="4445"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0555" cy="4391025"/>
                          </a:xfrm>
                          <a:prstGeom prst="rect">
                            <a:avLst/>
                          </a:prstGeom>
                        </pic:spPr>
                      </pic:pic>
                    </a:graphicData>
                  </a:graphic>
                </wp:anchor>
              </w:drawing>
            </w:r>
          </w:p>
        </w:tc>
      </w:tr>
    </w:tbl>
    <w:p w14:paraId="10551E97" w14:textId="77777777" w:rsidR="008A5E5F" w:rsidRPr="008A5E5F" w:rsidRDefault="008A5E5F" w:rsidP="008A5E5F">
      <w:pPr>
        <w:sectPr w:rsidR="008A5E5F" w:rsidRPr="008A5E5F" w:rsidSect="008A5E5F">
          <w:footerReference w:type="default" r:id="rId13"/>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258"/>
        <w:gridCol w:w="2072"/>
        <w:gridCol w:w="1717"/>
        <w:gridCol w:w="3877"/>
      </w:tblGrid>
      <w:tr w:rsidR="002A6235" w:rsidRPr="008A5E5F" w14:paraId="1EDA73A6" w14:textId="77777777" w:rsidTr="00DF0373">
        <w:trPr>
          <w:trHeight w:val="680"/>
          <w:tblHeader/>
        </w:trPr>
        <w:tc>
          <w:tcPr>
            <w:tcW w:w="2388" w:type="dxa"/>
            <w:vMerge w:val="restart"/>
            <w:shd w:val="clear" w:color="auto" w:fill="BFBFBF" w:themeFill="background1" w:themeFillShade="BF"/>
          </w:tcPr>
          <w:p w14:paraId="2C8334B7" w14:textId="77777777" w:rsidR="002A6235" w:rsidRPr="008A5E5F" w:rsidRDefault="002A6235" w:rsidP="008A5E5F">
            <w:pPr>
              <w:rPr>
                <w:b/>
              </w:rPr>
            </w:pPr>
            <w:bookmarkStart w:id="0" w:name="Maske" w:colFirst="0" w:colLast="0"/>
          </w:p>
          <w:p w14:paraId="408A0A40" w14:textId="77777777" w:rsidR="002A6235" w:rsidRPr="008A5E5F" w:rsidRDefault="002A6235" w:rsidP="008A5E5F">
            <w:pPr>
              <w:rPr>
                <w:b/>
              </w:rPr>
            </w:pPr>
            <w:r w:rsidRPr="008A5E5F">
              <w:rPr>
                <w:b/>
              </w:rPr>
              <w:t>Handlungsphasen</w:t>
            </w:r>
          </w:p>
          <w:p w14:paraId="0AB814D1" w14:textId="77777777" w:rsidR="002A6235" w:rsidRPr="008A5E5F" w:rsidRDefault="002A6235" w:rsidP="008A5E5F">
            <w:pPr>
              <w:rPr>
                <w:b/>
              </w:rPr>
            </w:pPr>
            <w:r w:rsidRPr="008A5E5F">
              <w:rPr>
                <w:b/>
              </w:rPr>
              <w:t>(laut SchuCu-BBS, Glossar)</w:t>
            </w:r>
          </w:p>
        </w:tc>
        <w:tc>
          <w:tcPr>
            <w:tcW w:w="3390" w:type="dxa"/>
            <w:gridSpan w:val="2"/>
            <w:tcBorders>
              <w:bottom w:val="single" w:sz="4" w:space="0" w:color="auto"/>
            </w:tcBorders>
            <w:shd w:val="clear" w:color="auto" w:fill="BFBFBF" w:themeFill="background1" w:themeFillShade="BF"/>
          </w:tcPr>
          <w:p w14:paraId="5303480D" w14:textId="77777777" w:rsidR="002A6235" w:rsidRPr="008A5E5F" w:rsidRDefault="002A6235" w:rsidP="008A5E5F">
            <w:pPr>
              <w:rPr>
                <w:b/>
              </w:rPr>
            </w:pPr>
          </w:p>
          <w:p w14:paraId="3FF0086B" w14:textId="77777777" w:rsidR="002A6235" w:rsidRPr="008A5E5F" w:rsidRDefault="002A6235" w:rsidP="008A5E5F">
            <w:pPr>
              <w:rPr>
                <w:b/>
              </w:rPr>
            </w:pPr>
            <w:r w:rsidRPr="008A5E5F">
              <w:rPr>
                <w:b/>
              </w:rPr>
              <w:t>Angestrebte Kompetenzen</w:t>
            </w:r>
          </w:p>
        </w:tc>
        <w:tc>
          <w:tcPr>
            <w:tcW w:w="4146" w:type="dxa"/>
            <w:vMerge w:val="restart"/>
            <w:shd w:val="clear" w:color="auto" w:fill="BFBFBF" w:themeFill="background1" w:themeFillShade="BF"/>
          </w:tcPr>
          <w:p w14:paraId="767FC7B6" w14:textId="77777777" w:rsidR="002A6235" w:rsidRPr="008A5E5F" w:rsidRDefault="002A6235" w:rsidP="008A5E5F">
            <w:pPr>
              <w:rPr>
                <w:b/>
              </w:rPr>
            </w:pPr>
          </w:p>
          <w:p w14:paraId="1F1D7EF7" w14:textId="77777777" w:rsidR="002A6235" w:rsidRPr="008A5E5F" w:rsidRDefault="002A6235" w:rsidP="008A5E5F">
            <w:pPr>
              <w:rPr>
                <w:b/>
              </w:rPr>
            </w:pPr>
            <w:r w:rsidRPr="008A5E5F">
              <w:rPr>
                <w:b/>
              </w:rPr>
              <w:t>Unterrichtsmethoden,</w:t>
            </w:r>
          </w:p>
          <w:p w14:paraId="499C884C" w14:textId="77777777" w:rsidR="002A6235" w:rsidRPr="008A5E5F" w:rsidRDefault="002A6235" w:rsidP="008A5E5F">
            <w:pPr>
              <w:rPr>
                <w:b/>
              </w:rPr>
            </w:pPr>
            <w:r w:rsidRPr="008A5E5F">
              <w:rPr>
                <w:b/>
              </w:rPr>
              <w:t>Medien/Materialien/</w:t>
            </w:r>
          </w:p>
          <w:p w14:paraId="152598CA" w14:textId="77777777" w:rsidR="002A6235" w:rsidRPr="008A5E5F" w:rsidRDefault="002A6235" w:rsidP="008A5E5F">
            <w:pPr>
              <w:rPr>
                <w:b/>
              </w:rPr>
            </w:pPr>
            <w:r w:rsidRPr="008A5E5F">
              <w:rPr>
                <w:b/>
              </w:rPr>
              <w:t>Hinweise zum Distanzunterricht</w:t>
            </w:r>
          </w:p>
          <w:p w14:paraId="5E63344E" w14:textId="77777777" w:rsidR="002A6235" w:rsidRPr="008A5E5F" w:rsidRDefault="002A6235" w:rsidP="008A5E5F">
            <w:pPr>
              <w:rPr>
                <w:b/>
              </w:rPr>
            </w:pPr>
          </w:p>
        </w:tc>
      </w:tr>
      <w:tr w:rsidR="002A6235" w:rsidRPr="008A5E5F" w14:paraId="4B3C14D6" w14:textId="77777777" w:rsidTr="00DF0373">
        <w:trPr>
          <w:trHeight w:val="626"/>
          <w:tblHeader/>
        </w:trPr>
        <w:tc>
          <w:tcPr>
            <w:tcW w:w="2388" w:type="dxa"/>
            <w:vMerge/>
          </w:tcPr>
          <w:p w14:paraId="3D935C94" w14:textId="77777777" w:rsidR="002A6235" w:rsidRPr="008A5E5F" w:rsidRDefault="002A6235" w:rsidP="008A5E5F"/>
        </w:tc>
        <w:tc>
          <w:tcPr>
            <w:tcW w:w="1582" w:type="dxa"/>
            <w:shd w:val="clear" w:color="auto" w:fill="BFBFBF" w:themeFill="background1" w:themeFillShade="BF"/>
            <w:vAlign w:val="center"/>
          </w:tcPr>
          <w:p w14:paraId="59537939" w14:textId="77777777" w:rsidR="002A6235" w:rsidRPr="008A5E5F" w:rsidRDefault="002A6235" w:rsidP="008A5E5F">
            <w:r w:rsidRPr="008A5E5F">
              <w:t>Fach</w:t>
            </w:r>
            <w:r>
              <w:t xml:space="preserve">- </w:t>
            </w:r>
            <w:r w:rsidRPr="008A5E5F">
              <w:t>kompetenzen</w:t>
            </w:r>
          </w:p>
        </w:tc>
        <w:tc>
          <w:tcPr>
            <w:tcW w:w="1808" w:type="dxa"/>
            <w:shd w:val="clear" w:color="auto" w:fill="BFBFBF" w:themeFill="background1" w:themeFillShade="BF"/>
            <w:vAlign w:val="center"/>
          </w:tcPr>
          <w:p w14:paraId="725E6947" w14:textId="77777777" w:rsidR="002A6235" w:rsidRPr="008A5E5F" w:rsidRDefault="002A6235" w:rsidP="008A5E5F">
            <w:r w:rsidRPr="008A5E5F">
              <w:t>Personale Kompetenzen</w:t>
            </w:r>
          </w:p>
        </w:tc>
        <w:tc>
          <w:tcPr>
            <w:tcW w:w="4146" w:type="dxa"/>
            <w:vMerge/>
          </w:tcPr>
          <w:p w14:paraId="2AF9C660" w14:textId="77777777" w:rsidR="002A6235" w:rsidRPr="008A5E5F" w:rsidRDefault="002A6235" w:rsidP="008A5E5F"/>
        </w:tc>
      </w:tr>
      <w:tr w:rsidR="00330322" w:rsidRPr="008A5E5F" w14:paraId="0C8D275B" w14:textId="77777777" w:rsidTr="00DF0373">
        <w:trPr>
          <w:trHeight w:val="418"/>
        </w:trPr>
        <w:tc>
          <w:tcPr>
            <w:tcW w:w="2388" w:type="dxa"/>
          </w:tcPr>
          <w:p w14:paraId="5AF825EA" w14:textId="77777777" w:rsidR="00330322" w:rsidRPr="008A5E5F" w:rsidRDefault="00330322" w:rsidP="008A5E5F"/>
        </w:tc>
        <w:tc>
          <w:tcPr>
            <w:tcW w:w="3390" w:type="dxa"/>
            <w:gridSpan w:val="2"/>
            <w:vAlign w:val="center"/>
          </w:tcPr>
          <w:p w14:paraId="7CD3697B" w14:textId="77777777" w:rsidR="00330322" w:rsidRPr="008A5E5F" w:rsidRDefault="00330322" w:rsidP="008A5E5F">
            <w:r w:rsidRPr="008A5E5F">
              <w:t>Die Schülerinnen und Schüler ….</w:t>
            </w:r>
          </w:p>
        </w:tc>
        <w:tc>
          <w:tcPr>
            <w:tcW w:w="4146" w:type="dxa"/>
            <w:tcBorders>
              <w:bottom w:val="single" w:sz="4" w:space="0" w:color="auto"/>
            </w:tcBorders>
          </w:tcPr>
          <w:p w14:paraId="55828DF7" w14:textId="77777777" w:rsidR="00330322" w:rsidRPr="008A5E5F" w:rsidRDefault="00330322" w:rsidP="008A5E5F"/>
        </w:tc>
      </w:tr>
      <w:tr w:rsidR="00330322" w:rsidRPr="008A5E5F" w14:paraId="4BF2FF1A" w14:textId="77777777" w:rsidTr="00DF0373">
        <w:trPr>
          <w:trHeight w:val="1037"/>
        </w:trPr>
        <w:tc>
          <w:tcPr>
            <w:tcW w:w="2388" w:type="dxa"/>
          </w:tcPr>
          <w:p w14:paraId="1E2B93BF" w14:textId="77777777" w:rsidR="00330322" w:rsidRPr="00330322" w:rsidRDefault="00330322" w:rsidP="008A5E5F">
            <w:pPr>
              <w:rPr>
                <w:b/>
              </w:rPr>
            </w:pPr>
            <w:r w:rsidRPr="00330322">
              <w:rPr>
                <w:b/>
              </w:rPr>
              <w:t>Informieren</w:t>
            </w:r>
          </w:p>
          <w:p w14:paraId="08CFB705"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1582" w:type="dxa"/>
          </w:tcPr>
          <w:p w14:paraId="23ACE9E0" w14:textId="08FE4357" w:rsidR="00330322" w:rsidRPr="008A5E5F" w:rsidRDefault="00435A34" w:rsidP="008A5E5F">
            <w:r>
              <w:rPr>
                <w:rFonts w:ascii="Calibri" w:hAnsi="Calibri"/>
                <w:sz w:val="20"/>
                <w:szCs w:val="20"/>
              </w:rPr>
              <w:t xml:space="preserve">Die Schülerinnen und Schüler analysieren im Team ein fachrichtungstypisches Projekt und führen es nach den Vorgaben des Projektmanagements durch.  </w:t>
            </w:r>
          </w:p>
        </w:tc>
        <w:tc>
          <w:tcPr>
            <w:tcW w:w="1808" w:type="dxa"/>
          </w:tcPr>
          <w:p w14:paraId="3B94EC8C" w14:textId="77777777" w:rsidR="00330322" w:rsidRPr="008A5E5F" w:rsidRDefault="00330322" w:rsidP="008A5E5F"/>
        </w:tc>
        <w:tc>
          <w:tcPr>
            <w:tcW w:w="4146" w:type="dxa"/>
            <w:tcBorders>
              <w:bottom w:val="single" w:sz="4" w:space="0" w:color="auto"/>
            </w:tcBorders>
          </w:tcPr>
          <w:p w14:paraId="5B439D36" w14:textId="614A7A56" w:rsidR="00330322" w:rsidRPr="008A5E5F" w:rsidRDefault="00042A8D" w:rsidP="008A5E5F">
            <w:r>
              <w:t xml:space="preserve">Die Schüler </w:t>
            </w:r>
            <w:r w:rsidRPr="007B4BE1">
              <w:rPr>
                <w:b/>
                <w:bCs/>
              </w:rPr>
              <w:t>informieren</w:t>
            </w:r>
            <w:r>
              <w:t xml:space="preserve"> sich zu den unterschiedlichen Vorgehensmodellen des Projektmanagements. Sie verstehen die Unterschiede zwischen sequenziell oder iterative ablaufenden Phasenmodellen. Sie kennen und können die Besonderheiten beim „Agilen Projektmanagement“ </w:t>
            </w:r>
            <w:r w:rsidRPr="007B4BE1">
              <w:rPr>
                <w:b/>
                <w:bCs/>
              </w:rPr>
              <w:t>beschreiben</w:t>
            </w:r>
            <w:r>
              <w:t xml:space="preserve">. In der allen Vorgehensmodellen zugrundeliegenden Analysephase erkunden die Schüler die Maschine und die verbauten Automatisierungskomponenten. Sie </w:t>
            </w:r>
            <w:r w:rsidRPr="007B4BE1">
              <w:rPr>
                <w:b/>
                <w:bCs/>
              </w:rPr>
              <w:t>informieren</w:t>
            </w:r>
            <w:r>
              <w:t xml:space="preserve"> sich anhand von vorhandenem Informationsmaterial (Datenblätter).</w:t>
            </w:r>
          </w:p>
        </w:tc>
      </w:tr>
      <w:tr w:rsidR="00330322" w:rsidRPr="008A5E5F" w14:paraId="2BDC1740" w14:textId="77777777" w:rsidTr="00DF0373">
        <w:trPr>
          <w:trHeight w:val="680"/>
        </w:trPr>
        <w:tc>
          <w:tcPr>
            <w:tcW w:w="2388" w:type="dxa"/>
          </w:tcPr>
          <w:p w14:paraId="44316428" w14:textId="77777777" w:rsidR="00330322" w:rsidRPr="00330322" w:rsidRDefault="00330322" w:rsidP="008A5E5F">
            <w:pPr>
              <w:rPr>
                <w:b/>
              </w:rPr>
            </w:pPr>
            <w:r w:rsidRPr="00330322">
              <w:rPr>
                <w:b/>
              </w:rPr>
              <w:t xml:space="preserve">Planen </w:t>
            </w:r>
          </w:p>
          <w:p w14:paraId="35DC38F6" w14:textId="77777777" w:rsidR="00330322" w:rsidRPr="00330322" w:rsidRDefault="00330322" w:rsidP="008A5E5F">
            <w:pPr>
              <w:rPr>
                <w:i/>
                <w:sz w:val="18"/>
                <w:szCs w:val="18"/>
              </w:rPr>
            </w:pPr>
            <w:r w:rsidRPr="00330322">
              <w:rPr>
                <w:i/>
                <w:sz w:val="18"/>
                <w:szCs w:val="18"/>
              </w:rPr>
              <w:t>Die Schülerinnen und Schüler planen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1582" w:type="dxa"/>
          </w:tcPr>
          <w:p w14:paraId="41E860E2" w14:textId="77777777" w:rsidR="00435A34" w:rsidRDefault="00435A34" w:rsidP="00435A34">
            <w:pPr>
              <w:rPr>
                <w:rFonts w:ascii="Calibri" w:hAnsi="Calibri"/>
                <w:sz w:val="20"/>
                <w:szCs w:val="20"/>
              </w:rPr>
            </w:pPr>
            <w:r>
              <w:rPr>
                <w:rFonts w:ascii="Calibri" w:hAnsi="Calibri"/>
                <w:sz w:val="20"/>
                <w:szCs w:val="20"/>
              </w:rPr>
              <w:t xml:space="preserve">Sie erstellen technische Dokumente, ggf. Programme.  </w:t>
            </w:r>
          </w:p>
          <w:p w14:paraId="5C81F475" w14:textId="77777777" w:rsidR="00330322" w:rsidRPr="008A5E5F" w:rsidRDefault="00330322" w:rsidP="008A5E5F"/>
        </w:tc>
        <w:tc>
          <w:tcPr>
            <w:tcW w:w="1808" w:type="dxa"/>
          </w:tcPr>
          <w:p w14:paraId="008C0419" w14:textId="77777777" w:rsidR="00330322" w:rsidRPr="008A5E5F" w:rsidRDefault="00330322" w:rsidP="008A5E5F"/>
        </w:tc>
        <w:tc>
          <w:tcPr>
            <w:tcW w:w="4146" w:type="dxa"/>
          </w:tcPr>
          <w:p w14:paraId="1685F386" w14:textId="1E252DA0" w:rsidR="00330322" w:rsidRPr="008A5E5F" w:rsidRDefault="00042A8D" w:rsidP="00330322">
            <w:r w:rsidRPr="007B4BE1">
              <w:rPr>
                <w:b/>
                <w:bCs/>
              </w:rPr>
              <w:t>Planen</w:t>
            </w:r>
            <w:r>
              <w:t xml:space="preserve"> anhand elektrischer Schaltpläne die Ein- bzw. Ausgangsbelegung der SPS</w:t>
            </w:r>
          </w:p>
        </w:tc>
      </w:tr>
      <w:tr w:rsidR="00330322" w:rsidRPr="008A5E5F" w14:paraId="182439F2" w14:textId="77777777" w:rsidTr="00DF0373">
        <w:trPr>
          <w:trHeight w:val="680"/>
        </w:trPr>
        <w:tc>
          <w:tcPr>
            <w:tcW w:w="2388" w:type="dxa"/>
          </w:tcPr>
          <w:p w14:paraId="3574C0BD" w14:textId="77777777" w:rsidR="00330322" w:rsidRPr="00330322" w:rsidRDefault="00330322" w:rsidP="008A5E5F">
            <w:pPr>
              <w:rPr>
                <w:b/>
              </w:rPr>
            </w:pPr>
            <w:r w:rsidRPr="00330322">
              <w:rPr>
                <w:b/>
              </w:rPr>
              <w:t>Entscheiden</w:t>
            </w:r>
          </w:p>
          <w:p w14:paraId="5B12E39E" w14:textId="77777777" w:rsidR="00330322" w:rsidRPr="00330322" w:rsidRDefault="00330322" w:rsidP="008A5E5F">
            <w:pPr>
              <w:rPr>
                <w:i/>
                <w:sz w:val="18"/>
                <w:szCs w:val="18"/>
              </w:rPr>
            </w:pPr>
            <w:r w:rsidRPr="00330322">
              <w:rPr>
                <w:i/>
                <w:sz w:val="18"/>
                <w:szCs w:val="18"/>
              </w:rPr>
              <w:t xml:space="preserve">Die Schülerinnen und Schüler entscheiden sich auf Grundlage der vorangegangenen Planung für einen Lösungsweg oder mehrere </w:t>
            </w:r>
            <w:r>
              <w:rPr>
                <w:i/>
                <w:sz w:val="18"/>
                <w:szCs w:val="18"/>
              </w:rPr>
              <w:t>Lösungs</w:t>
            </w:r>
            <w:r w:rsidRPr="00330322">
              <w:rPr>
                <w:i/>
                <w:sz w:val="18"/>
                <w:szCs w:val="18"/>
              </w:rPr>
              <w:t>wege und legen dabei ein Handlungsergebnis sowie Vorgehensweise, Zeitrahmen, Verantwortlichkeiten und Beurteilungskriterien fest.</w:t>
            </w:r>
          </w:p>
        </w:tc>
        <w:tc>
          <w:tcPr>
            <w:tcW w:w="1582" w:type="dxa"/>
          </w:tcPr>
          <w:p w14:paraId="7EB31B88" w14:textId="77777777" w:rsidR="00330322" w:rsidRPr="008A5E5F" w:rsidRDefault="00330322" w:rsidP="008A5E5F">
            <w:r w:rsidRPr="008A5E5F">
              <w:t>.</w:t>
            </w:r>
          </w:p>
        </w:tc>
        <w:tc>
          <w:tcPr>
            <w:tcW w:w="1808" w:type="dxa"/>
          </w:tcPr>
          <w:p w14:paraId="38342944" w14:textId="77777777" w:rsidR="00330322" w:rsidRPr="008A5E5F" w:rsidRDefault="00330322" w:rsidP="008A5E5F"/>
        </w:tc>
        <w:tc>
          <w:tcPr>
            <w:tcW w:w="4146" w:type="dxa"/>
          </w:tcPr>
          <w:p w14:paraId="441FEF18" w14:textId="77777777" w:rsidR="00330322" w:rsidRPr="008A5E5F" w:rsidRDefault="00330322" w:rsidP="008A5E5F"/>
        </w:tc>
      </w:tr>
    </w:tbl>
    <w:p w14:paraId="40CFC4AB" w14:textId="77777777" w:rsidR="00DF0373" w:rsidRDefault="00DF0373">
      <w:r>
        <w:br w:type="page"/>
      </w:r>
    </w:p>
    <w:tbl>
      <w:tblPr>
        <w:tblStyle w:val="Tabellenraster"/>
        <w:tblW w:w="9924" w:type="dxa"/>
        <w:tblInd w:w="-431" w:type="dxa"/>
        <w:tblLook w:val="04A0" w:firstRow="1" w:lastRow="0" w:firstColumn="1" w:lastColumn="0" w:noHBand="0" w:noVBand="1"/>
      </w:tblPr>
      <w:tblGrid>
        <w:gridCol w:w="2388"/>
        <w:gridCol w:w="1582"/>
        <w:gridCol w:w="1808"/>
        <w:gridCol w:w="4146"/>
      </w:tblGrid>
      <w:tr w:rsidR="00DF0373" w:rsidRPr="008A5E5F" w14:paraId="0CA33CEB" w14:textId="77777777" w:rsidTr="00763530">
        <w:trPr>
          <w:trHeight w:val="680"/>
          <w:tblHeader/>
        </w:trPr>
        <w:tc>
          <w:tcPr>
            <w:tcW w:w="2388" w:type="dxa"/>
            <w:vMerge w:val="restart"/>
            <w:shd w:val="clear" w:color="auto" w:fill="BFBFBF" w:themeFill="background1" w:themeFillShade="BF"/>
          </w:tcPr>
          <w:p w14:paraId="7DB8A018" w14:textId="77777777" w:rsidR="00DF0373" w:rsidRPr="008A5E5F" w:rsidRDefault="00DF0373" w:rsidP="00763530">
            <w:pPr>
              <w:rPr>
                <w:b/>
              </w:rPr>
            </w:pPr>
          </w:p>
          <w:p w14:paraId="2EE2BFF7" w14:textId="77777777" w:rsidR="00DF0373" w:rsidRPr="008A5E5F" w:rsidRDefault="00DF0373" w:rsidP="00763530">
            <w:pPr>
              <w:rPr>
                <w:b/>
              </w:rPr>
            </w:pPr>
            <w:r w:rsidRPr="008A5E5F">
              <w:rPr>
                <w:b/>
              </w:rPr>
              <w:t>Handlungsphasen</w:t>
            </w:r>
          </w:p>
          <w:p w14:paraId="4BEB3B53" w14:textId="77777777" w:rsidR="00DF0373" w:rsidRPr="008A5E5F" w:rsidRDefault="00DF0373" w:rsidP="00763530">
            <w:pPr>
              <w:rPr>
                <w:b/>
              </w:rPr>
            </w:pPr>
            <w:r w:rsidRPr="008A5E5F">
              <w:rPr>
                <w:b/>
              </w:rPr>
              <w:t>(laut SchuCu-BBS, Glossar)</w:t>
            </w:r>
          </w:p>
        </w:tc>
        <w:tc>
          <w:tcPr>
            <w:tcW w:w="3390" w:type="dxa"/>
            <w:gridSpan w:val="2"/>
            <w:tcBorders>
              <w:bottom w:val="single" w:sz="4" w:space="0" w:color="auto"/>
            </w:tcBorders>
            <w:shd w:val="clear" w:color="auto" w:fill="BFBFBF" w:themeFill="background1" w:themeFillShade="BF"/>
          </w:tcPr>
          <w:p w14:paraId="1A4FBBC4" w14:textId="77777777" w:rsidR="00DF0373" w:rsidRPr="008A5E5F" w:rsidRDefault="00DF0373" w:rsidP="00763530">
            <w:pPr>
              <w:rPr>
                <w:b/>
              </w:rPr>
            </w:pPr>
          </w:p>
          <w:p w14:paraId="7FE31528" w14:textId="77777777" w:rsidR="00DF0373" w:rsidRPr="008A5E5F" w:rsidRDefault="00DF0373" w:rsidP="00763530">
            <w:pPr>
              <w:rPr>
                <w:b/>
              </w:rPr>
            </w:pPr>
            <w:r w:rsidRPr="008A5E5F">
              <w:rPr>
                <w:b/>
              </w:rPr>
              <w:t>Angestrebte Kompetenzen</w:t>
            </w:r>
          </w:p>
        </w:tc>
        <w:tc>
          <w:tcPr>
            <w:tcW w:w="4146" w:type="dxa"/>
            <w:vMerge w:val="restart"/>
            <w:shd w:val="clear" w:color="auto" w:fill="BFBFBF" w:themeFill="background1" w:themeFillShade="BF"/>
          </w:tcPr>
          <w:p w14:paraId="45AFA042" w14:textId="77777777" w:rsidR="00DF0373" w:rsidRPr="008A5E5F" w:rsidRDefault="00DF0373" w:rsidP="00763530">
            <w:pPr>
              <w:rPr>
                <w:b/>
              </w:rPr>
            </w:pPr>
          </w:p>
          <w:p w14:paraId="7DA3E036" w14:textId="77777777" w:rsidR="00DF0373" w:rsidRPr="008A5E5F" w:rsidRDefault="00DF0373" w:rsidP="00763530">
            <w:pPr>
              <w:rPr>
                <w:b/>
              </w:rPr>
            </w:pPr>
            <w:r w:rsidRPr="008A5E5F">
              <w:rPr>
                <w:b/>
              </w:rPr>
              <w:t>Unterrichtsmethoden,</w:t>
            </w:r>
          </w:p>
          <w:p w14:paraId="12DD6876" w14:textId="77777777" w:rsidR="00DF0373" w:rsidRPr="008A5E5F" w:rsidRDefault="00DF0373" w:rsidP="00763530">
            <w:pPr>
              <w:rPr>
                <w:b/>
              </w:rPr>
            </w:pPr>
            <w:r w:rsidRPr="008A5E5F">
              <w:rPr>
                <w:b/>
              </w:rPr>
              <w:t>Medien/Materialien/</w:t>
            </w:r>
          </w:p>
          <w:p w14:paraId="52FD3F9F" w14:textId="77777777" w:rsidR="00DF0373" w:rsidRPr="008A5E5F" w:rsidRDefault="00DF0373" w:rsidP="00763530">
            <w:pPr>
              <w:rPr>
                <w:b/>
              </w:rPr>
            </w:pPr>
            <w:r w:rsidRPr="008A5E5F">
              <w:rPr>
                <w:b/>
              </w:rPr>
              <w:t>Hinweise zum Distanzunterricht</w:t>
            </w:r>
          </w:p>
          <w:p w14:paraId="587E9EE9" w14:textId="77777777" w:rsidR="00DF0373" w:rsidRPr="008A5E5F" w:rsidRDefault="00DF0373" w:rsidP="00763530">
            <w:pPr>
              <w:rPr>
                <w:b/>
              </w:rPr>
            </w:pPr>
          </w:p>
        </w:tc>
      </w:tr>
      <w:tr w:rsidR="00DF0373" w:rsidRPr="008A5E5F" w14:paraId="40700EAD" w14:textId="77777777" w:rsidTr="00763530">
        <w:trPr>
          <w:trHeight w:val="626"/>
          <w:tblHeader/>
        </w:trPr>
        <w:tc>
          <w:tcPr>
            <w:tcW w:w="2388" w:type="dxa"/>
            <w:vMerge/>
          </w:tcPr>
          <w:p w14:paraId="6D64C8E7" w14:textId="77777777" w:rsidR="00DF0373" w:rsidRPr="008A5E5F" w:rsidRDefault="00DF0373" w:rsidP="00763530"/>
        </w:tc>
        <w:tc>
          <w:tcPr>
            <w:tcW w:w="1582" w:type="dxa"/>
            <w:shd w:val="clear" w:color="auto" w:fill="BFBFBF" w:themeFill="background1" w:themeFillShade="BF"/>
            <w:vAlign w:val="center"/>
          </w:tcPr>
          <w:p w14:paraId="4E7C3556" w14:textId="77777777" w:rsidR="00DF0373" w:rsidRPr="008A5E5F" w:rsidRDefault="00DF0373" w:rsidP="00763530">
            <w:r w:rsidRPr="008A5E5F">
              <w:t>Fach</w:t>
            </w:r>
            <w:r>
              <w:t xml:space="preserve">- </w:t>
            </w:r>
            <w:r w:rsidRPr="008A5E5F">
              <w:t>kompetenzen</w:t>
            </w:r>
          </w:p>
        </w:tc>
        <w:tc>
          <w:tcPr>
            <w:tcW w:w="1808" w:type="dxa"/>
            <w:shd w:val="clear" w:color="auto" w:fill="BFBFBF" w:themeFill="background1" w:themeFillShade="BF"/>
            <w:vAlign w:val="center"/>
          </w:tcPr>
          <w:p w14:paraId="0E1701FB" w14:textId="77777777" w:rsidR="00DF0373" w:rsidRPr="008A5E5F" w:rsidRDefault="00DF0373" w:rsidP="00763530">
            <w:r w:rsidRPr="008A5E5F">
              <w:t>Personale Kompetenzen</w:t>
            </w:r>
          </w:p>
        </w:tc>
        <w:tc>
          <w:tcPr>
            <w:tcW w:w="4146" w:type="dxa"/>
            <w:vMerge/>
          </w:tcPr>
          <w:p w14:paraId="23B3B694" w14:textId="77777777" w:rsidR="00DF0373" w:rsidRPr="008A5E5F" w:rsidRDefault="00DF0373" w:rsidP="00763530"/>
        </w:tc>
      </w:tr>
      <w:tr w:rsidR="00DF0373" w:rsidRPr="008A5E5F" w14:paraId="77A2F07A" w14:textId="77777777" w:rsidTr="00763530">
        <w:trPr>
          <w:trHeight w:val="418"/>
        </w:trPr>
        <w:tc>
          <w:tcPr>
            <w:tcW w:w="2388" w:type="dxa"/>
          </w:tcPr>
          <w:p w14:paraId="25EFE48E" w14:textId="77777777" w:rsidR="00DF0373" w:rsidRPr="008A5E5F" w:rsidRDefault="00DF0373" w:rsidP="00763530"/>
        </w:tc>
        <w:tc>
          <w:tcPr>
            <w:tcW w:w="3390" w:type="dxa"/>
            <w:gridSpan w:val="2"/>
            <w:vAlign w:val="center"/>
          </w:tcPr>
          <w:p w14:paraId="7F1FF007" w14:textId="77777777" w:rsidR="00DF0373" w:rsidRPr="008A5E5F" w:rsidRDefault="00DF0373" w:rsidP="00763530">
            <w:r w:rsidRPr="008A5E5F">
              <w:t>Die Schülerinnen und Schüler ….</w:t>
            </w:r>
          </w:p>
        </w:tc>
        <w:tc>
          <w:tcPr>
            <w:tcW w:w="4146" w:type="dxa"/>
            <w:tcBorders>
              <w:bottom w:val="single" w:sz="4" w:space="0" w:color="auto"/>
            </w:tcBorders>
          </w:tcPr>
          <w:p w14:paraId="07483196" w14:textId="77777777" w:rsidR="00DF0373" w:rsidRPr="008A5E5F" w:rsidRDefault="00DF0373" w:rsidP="00763530"/>
        </w:tc>
      </w:tr>
      <w:tr w:rsidR="00330322" w:rsidRPr="008A5E5F" w14:paraId="0767A395" w14:textId="77777777" w:rsidTr="00DF0373">
        <w:trPr>
          <w:trHeight w:val="680"/>
        </w:trPr>
        <w:tc>
          <w:tcPr>
            <w:tcW w:w="2388" w:type="dxa"/>
          </w:tcPr>
          <w:p w14:paraId="40F05FDF" w14:textId="77777777" w:rsidR="00330322" w:rsidRPr="008A5E5F" w:rsidRDefault="00330322" w:rsidP="008A5E5F">
            <w:pPr>
              <w:rPr>
                <w:b/>
                <w:u w:val="single"/>
              </w:rPr>
            </w:pPr>
            <w:r w:rsidRPr="00330322">
              <w:rPr>
                <w:b/>
              </w:rPr>
              <w:t>Durchführen</w:t>
            </w:r>
          </w:p>
          <w:p w14:paraId="609AC90C" w14:textId="77777777" w:rsidR="00330322" w:rsidRPr="008A5E5F" w:rsidRDefault="00330322" w:rsidP="008A5E5F">
            <w:pPr>
              <w:rPr>
                <w:i/>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1582" w:type="dxa"/>
          </w:tcPr>
          <w:p w14:paraId="2D1FC5CD" w14:textId="7993F3F7" w:rsidR="00330322" w:rsidRPr="008A5E5F" w:rsidRDefault="00435A34" w:rsidP="008A5E5F">
            <w:r>
              <w:rPr>
                <w:rFonts w:ascii="Calibri" w:hAnsi="Calibri"/>
              </w:rPr>
              <w:t>Die Schülerinnen und Schüler optimieren komplexe technische Lösungen oder Prozesse.</w:t>
            </w:r>
          </w:p>
        </w:tc>
        <w:tc>
          <w:tcPr>
            <w:tcW w:w="1808" w:type="dxa"/>
          </w:tcPr>
          <w:p w14:paraId="36F4074A" w14:textId="77777777" w:rsidR="00330322" w:rsidRPr="008A5E5F" w:rsidRDefault="00330322" w:rsidP="008A5E5F"/>
        </w:tc>
        <w:tc>
          <w:tcPr>
            <w:tcW w:w="4146" w:type="dxa"/>
          </w:tcPr>
          <w:p w14:paraId="4AC8761A" w14:textId="16898AF7" w:rsidR="00330322" w:rsidRPr="008A5E5F" w:rsidRDefault="00044E86" w:rsidP="008A5E5F">
            <w:r>
              <w:t xml:space="preserve">Sie </w:t>
            </w:r>
            <w:r w:rsidRPr="007B4BE1">
              <w:rPr>
                <w:b/>
                <w:bCs/>
              </w:rPr>
              <w:t>erstellen</w:t>
            </w:r>
            <w:r w:rsidR="00626C39">
              <w:t xml:space="preserve"> eine Belegungsliste für die SPS (E/A-Planung) mit Hilfe einer Tabellenkalkulation.</w:t>
            </w:r>
          </w:p>
        </w:tc>
      </w:tr>
      <w:bookmarkEnd w:id="0"/>
      <w:tr w:rsidR="00330322" w:rsidRPr="008A5E5F" w14:paraId="5A78C159" w14:textId="77777777" w:rsidTr="00DF0373">
        <w:trPr>
          <w:trHeight w:val="680"/>
        </w:trPr>
        <w:tc>
          <w:tcPr>
            <w:tcW w:w="2388" w:type="dxa"/>
          </w:tcPr>
          <w:p w14:paraId="2DFB4054" w14:textId="77777777" w:rsidR="00330322" w:rsidRPr="00DF0373" w:rsidRDefault="00330322" w:rsidP="008A5E5F">
            <w:pPr>
              <w:rPr>
                <w:b/>
              </w:rPr>
            </w:pPr>
            <w:r w:rsidRPr="00DF0373">
              <w:rPr>
                <w:b/>
              </w:rPr>
              <w:t>Kontrollieren / Bewerten</w:t>
            </w:r>
          </w:p>
          <w:p w14:paraId="1ADFAF02" w14:textId="77777777" w:rsidR="00330322" w:rsidRPr="00DF0373" w:rsidRDefault="00330322" w:rsidP="008A5E5F">
            <w:r w:rsidRPr="00DF0373">
              <w:rPr>
                <w:i/>
                <w:sz w:val="18"/>
                <w:szCs w:val="18"/>
              </w:rPr>
              <w:t>Die Schülerinnen und Schüler kontrollieren das Handlungsergebnis auf Vollständigkeit und Plausibilität gemäß festgelegter Beurteilungskriterien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1582" w:type="dxa"/>
            <w:vAlign w:val="center"/>
          </w:tcPr>
          <w:p w14:paraId="1249A710" w14:textId="77777777" w:rsidR="00330322" w:rsidRPr="008A5E5F" w:rsidRDefault="00330322" w:rsidP="008A5E5F"/>
        </w:tc>
        <w:tc>
          <w:tcPr>
            <w:tcW w:w="1808" w:type="dxa"/>
          </w:tcPr>
          <w:p w14:paraId="2E9AC14B" w14:textId="2A1D5641" w:rsidR="00330322" w:rsidRPr="008A5E5F" w:rsidRDefault="00435A34" w:rsidP="008A5E5F">
            <w:pPr>
              <w:rPr>
                <w:b/>
              </w:rPr>
            </w:pPr>
            <w:r>
              <w:rPr>
                <w:rFonts w:ascii="Calibri" w:hAnsi="Calibri"/>
              </w:rPr>
              <w:t>Sie reflektieren entwickelte Lösungen oder Prozesse kritisch.</w:t>
            </w:r>
          </w:p>
        </w:tc>
        <w:tc>
          <w:tcPr>
            <w:tcW w:w="4146" w:type="dxa"/>
            <w:tcBorders>
              <w:bottom w:val="single" w:sz="4" w:space="0" w:color="auto"/>
            </w:tcBorders>
          </w:tcPr>
          <w:p w14:paraId="2E83373E" w14:textId="77777777" w:rsidR="00330322" w:rsidRDefault="00044E86" w:rsidP="00044E86">
            <w:r>
              <w:t xml:space="preserve">Zum Abschluss der Analyse </w:t>
            </w:r>
            <w:r w:rsidRPr="007B4BE1">
              <w:rPr>
                <w:b/>
                <w:bCs/>
              </w:rPr>
              <w:t>präsentieren</w:t>
            </w:r>
            <w:r>
              <w:t xml:space="preserve"> und </w:t>
            </w:r>
            <w:r w:rsidRPr="007B4BE1">
              <w:rPr>
                <w:b/>
                <w:bCs/>
              </w:rPr>
              <w:t>kontrollieren</w:t>
            </w:r>
            <w:r>
              <w:t xml:space="preserve"> sie ihre Ergebnisse. Exemplarisch werden die Ergebnisse in einem Film dargestellt. </w:t>
            </w:r>
          </w:p>
          <w:p w14:paraId="01F621BB" w14:textId="0CA3E3D6" w:rsidR="00044E86" w:rsidRPr="008A5E5F" w:rsidRDefault="00044E86" w:rsidP="00044E86">
            <w:r>
              <w:t xml:space="preserve">z.B. </w:t>
            </w:r>
            <w:hyperlink r:id="rId14" w:history="1">
              <w:r w:rsidR="007D5A6D" w:rsidRPr="00E12B6C">
                <w:rPr>
                  <w:rStyle w:val="Hyperlink"/>
                  <w:rFonts w:asciiTheme="minorHAnsi" w:hAnsiTheme="minorHAnsi"/>
                </w:rPr>
                <w:t>https://youtu.be/MFnsSRoAUFc</w:t>
              </w:r>
            </w:hyperlink>
            <w:r w:rsidR="007D5A6D">
              <w:t xml:space="preserve"> </w:t>
            </w:r>
          </w:p>
        </w:tc>
      </w:tr>
      <w:tr w:rsidR="00330322" w:rsidRPr="008A5E5F" w14:paraId="2D3745F1" w14:textId="77777777" w:rsidTr="00DF0373">
        <w:trPr>
          <w:trHeight w:val="680"/>
        </w:trPr>
        <w:tc>
          <w:tcPr>
            <w:tcW w:w="2388" w:type="dxa"/>
          </w:tcPr>
          <w:p w14:paraId="659E58EF" w14:textId="77777777" w:rsidR="00330322" w:rsidRPr="00330322" w:rsidRDefault="00330322" w:rsidP="008A5E5F">
            <w:pPr>
              <w:rPr>
                <w:b/>
                <w:sz w:val="18"/>
                <w:szCs w:val="18"/>
                <w:u w:val="single"/>
              </w:rPr>
            </w:pPr>
            <w:r w:rsidRPr="00330322">
              <w:rPr>
                <w:b/>
                <w:sz w:val="18"/>
                <w:szCs w:val="18"/>
              </w:rPr>
              <w:t>Reflektieren</w:t>
            </w:r>
          </w:p>
          <w:p w14:paraId="06C6C55C" w14:textId="77777777" w:rsidR="00330322" w:rsidRPr="00330322" w:rsidRDefault="00330322" w:rsidP="008A5E5F">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1582" w:type="dxa"/>
          </w:tcPr>
          <w:p w14:paraId="128E098E" w14:textId="77777777" w:rsidR="00330322" w:rsidRPr="008A5E5F" w:rsidRDefault="00330322" w:rsidP="008A5E5F"/>
          <w:p w14:paraId="6E1149BA" w14:textId="77777777" w:rsidR="00330322" w:rsidRPr="008A5E5F" w:rsidRDefault="00330322" w:rsidP="008A5E5F"/>
        </w:tc>
        <w:tc>
          <w:tcPr>
            <w:tcW w:w="1808" w:type="dxa"/>
          </w:tcPr>
          <w:p w14:paraId="284646CE" w14:textId="77777777" w:rsidR="00330322" w:rsidRPr="008A5E5F" w:rsidRDefault="00330322" w:rsidP="008A5E5F"/>
        </w:tc>
        <w:tc>
          <w:tcPr>
            <w:tcW w:w="4146" w:type="dxa"/>
            <w:tcBorders>
              <w:bottom w:val="single" w:sz="4" w:space="0" w:color="auto"/>
            </w:tcBorders>
          </w:tcPr>
          <w:p w14:paraId="2B170569" w14:textId="77777777" w:rsidR="00330322" w:rsidRPr="008A5E5F" w:rsidRDefault="00330322" w:rsidP="008A5E5F"/>
        </w:tc>
      </w:tr>
    </w:tbl>
    <w:p w14:paraId="3C82FC41" w14:textId="77777777" w:rsidR="008A5E5F" w:rsidRPr="008A5E5F" w:rsidRDefault="008A5E5F" w:rsidP="008A5E5F"/>
    <w:p w14:paraId="08140AF4" w14:textId="77777777" w:rsidR="008A5E5F" w:rsidRPr="008A5E5F" w:rsidRDefault="008A5E5F" w:rsidP="008A5E5F"/>
    <w:p w14:paraId="03F4F51B" w14:textId="77777777" w:rsidR="00DD4C5D" w:rsidRDefault="00DD4C5D"/>
    <w:sectPr w:rsidR="00DD4C5D" w:rsidSect="003303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B4615" w14:textId="77777777" w:rsidR="00CF4E99" w:rsidRDefault="00CF4E99" w:rsidP="002A6235">
      <w:pPr>
        <w:spacing w:after="0" w:line="240" w:lineRule="auto"/>
      </w:pPr>
      <w:r>
        <w:separator/>
      </w:r>
    </w:p>
  </w:endnote>
  <w:endnote w:type="continuationSeparator" w:id="0">
    <w:p w14:paraId="7B35420D" w14:textId="77777777" w:rsidR="00CF4E99" w:rsidRDefault="00CF4E99"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4537529"/>
      <w:docPartObj>
        <w:docPartGallery w:val="Page Numbers (Bottom of Page)"/>
        <w:docPartUnique/>
      </w:docPartObj>
    </w:sdtPr>
    <w:sdtEndPr>
      <w:rPr>
        <w:color w:val="1F3864" w:themeColor="accent5" w:themeShade="80"/>
      </w:rPr>
    </w:sdtEndPr>
    <w:sdtContent>
      <w:p w14:paraId="1F1CAA4D" w14:textId="77777777"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0547B6">
          <w:rPr>
            <w:noProof/>
            <w:color w:val="1F3864" w:themeColor="accent5" w:themeShade="80"/>
          </w:rPr>
          <w:t>2</w:t>
        </w:r>
        <w:r w:rsidRPr="000467C6">
          <w:rPr>
            <w:color w:val="1F3864" w:themeColor="accent5" w:themeShade="80"/>
          </w:rPr>
          <w:fldChar w:fldCharType="end"/>
        </w:r>
      </w:p>
    </w:sdtContent>
  </w:sdt>
  <w:p w14:paraId="29BE0093" w14:textId="77777777" w:rsidR="00497EDE" w:rsidRPr="000467C6" w:rsidRDefault="00CF4E99">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9CDF00" w14:textId="77777777" w:rsidR="00CF4E99" w:rsidRDefault="00CF4E99" w:rsidP="002A6235">
      <w:pPr>
        <w:spacing w:after="0" w:line="240" w:lineRule="auto"/>
      </w:pPr>
      <w:r>
        <w:separator/>
      </w:r>
    </w:p>
  </w:footnote>
  <w:footnote w:type="continuationSeparator" w:id="0">
    <w:p w14:paraId="30E5C5F6" w14:textId="77777777" w:rsidR="00CF4E99" w:rsidRDefault="00CF4E99"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804991"/>
    <w:multiLevelType w:val="hybridMultilevel"/>
    <w:tmpl w:val="B15A551A"/>
    <w:lvl w:ilvl="0" w:tplc="7F1240C2">
      <w:numFmt w:val="bullet"/>
      <w:lvlText w:val="•"/>
      <w:lvlJc w:val="left"/>
      <w:pPr>
        <w:ind w:left="1070" w:hanging="71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E5F"/>
    <w:rsid w:val="00042A8D"/>
    <w:rsid w:val="00044E86"/>
    <w:rsid w:val="000547B6"/>
    <w:rsid w:val="00094EDC"/>
    <w:rsid w:val="002820B2"/>
    <w:rsid w:val="002A56B9"/>
    <w:rsid w:val="002A6235"/>
    <w:rsid w:val="00330322"/>
    <w:rsid w:val="003316D0"/>
    <w:rsid w:val="003B1829"/>
    <w:rsid w:val="003F7AA4"/>
    <w:rsid w:val="00435A34"/>
    <w:rsid w:val="004941D3"/>
    <w:rsid w:val="005100A7"/>
    <w:rsid w:val="00523D17"/>
    <w:rsid w:val="005E6E44"/>
    <w:rsid w:val="00626C39"/>
    <w:rsid w:val="006C00DD"/>
    <w:rsid w:val="006F6576"/>
    <w:rsid w:val="007D5A6D"/>
    <w:rsid w:val="008A5E5F"/>
    <w:rsid w:val="009B4095"/>
    <w:rsid w:val="00A76297"/>
    <w:rsid w:val="00AD4413"/>
    <w:rsid w:val="00B160E8"/>
    <w:rsid w:val="00B23A4F"/>
    <w:rsid w:val="00CF4E99"/>
    <w:rsid w:val="00DD4C5D"/>
    <w:rsid w:val="00DF0373"/>
    <w:rsid w:val="00E641FA"/>
    <w:rsid w:val="00F35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5BF1E"/>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D5A6D"/>
    <w:rPr>
      <w:rFonts w:ascii="Arial" w:hAnsi="Arial"/>
      <w:b/>
      <w:color w:val="1F4E79" w:themeColor="accent1" w:themeShade="80"/>
      <w:sz w:val="22"/>
      <w:u w:val="singl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character" w:styleId="NichtaufgelsteErwhnung">
    <w:name w:val="Unresolved Mention"/>
    <w:basedOn w:val="Absatz-Standardschriftart"/>
    <w:uiPriority w:val="99"/>
    <w:semiHidden/>
    <w:unhideWhenUsed/>
    <w:rsid w:val="00042A8D"/>
    <w:rPr>
      <w:color w:val="605E5C"/>
      <w:shd w:val="clear" w:color="auto" w:fill="E1DFDD"/>
    </w:rPr>
  </w:style>
  <w:style w:type="paragraph" w:styleId="Listenabsatz">
    <w:name w:val="List Paragraph"/>
    <w:basedOn w:val="Standard"/>
    <w:uiPriority w:val="34"/>
    <w:qFormat/>
    <w:rsid w:val="00042A8D"/>
    <w:pPr>
      <w:spacing w:line="276" w:lineRule="auto"/>
      <w:ind w:left="720"/>
      <w:contextualSpacing/>
    </w:pPr>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165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factorymodel.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oelK9cl-Sn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youtu.be/MFnsSRoAUF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881</Words>
  <Characters>5557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Stefan Sayk</cp:lastModifiedBy>
  <cp:revision>11</cp:revision>
  <dcterms:created xsi:type="dcterms:W3CDTF">2020-12-08T16:17:00Z</dcterms:created>
  <dcterms:modified xsi:type="dcterms:W3CDTF">2021-01-22T12:29:00Z</dcterms:modified>
</cp:coreProperties>
</file>