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BB" w:rsidRPr="00F50B5A" w:rsidRDefault="00F656BB" w:rsidP="00F656BB">
      <w:r w:rsidRPr="00F50B5A">
        <w:rPr>
          <w:noProof/>
          <w:lang w:eastAsia="de-DE"/>
        </w:rPr>
        <w:drawing>
          <wp:anchor distT="0" distB="0" distL="114300" distR="114300" simplePos="0" relativeHeight="251659264" behindDoc="1" locked="0" layoutInCell="1" allowOverlap="1" wp14:anchorId="57C3FA27" wp14:editId="146090AC">
            <wp:simplePos x="0" y="0"/>
            <wp:positionH relativeFrom="column">
              <wp:posOffset>4523105</wp:posOffset>
            </wp:positionH>
            <wp:positionV relativeFrom="paragraph">
              <wp:posOffset>-309880</wp:posOffset>
            </wp:positionV>
            <wp:extent cx="1600200" cy="1369060"/>
            <wp:effectExtent l="0" t="0" r="0" b="2540"/>
            <wp:wrapThrough wrapText="bothSides">
              <wp:wrapPolygon edited="0">
                <wp:start x="0" y="0"/>
                <wp:lineTo x="0" y="21340"/>
                <wp:lineTo x="21343" y="21340"/>
                <wp:lineTo x="21343" y="0"/>
                <wp:lineTo x="0" y="0"/>
              </wp:wrapPolygon>
            </wp:wrapThrough>
            <wp:docPr id="2" name="Grafik 2" descr="Logo 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unt"/>
                    <pic:cNvPicPr>
                      <a:picLocks noChangeAspect="1" noChangeArrowheads="1"/>
                    </pic:cNvPicPr>
                  </pic:nvPicPr>
                  <pic:blipFill>
                    <a:blip r:embed="rId5">
                      <a:lum bright="-18000" contrast="42000"/>
                      <a:extLst>
                        <a:ext uri="{28A0092B-C50C-407E-A947-70E740481C1C}">
                          <a14:useLocalDpi xmlns:a14="http://schemas.microsoft.com/office/drawing/2010/main" val="0"/>
                        </a:ext>
                      </a:extLst>
                    </a:blip>
                    <a:srcRect/>
                    <a:stretch>
                      <a:fillRect/>
                    </a:stretch>
                  </pic:blipFill>
                  <pic:spPr bwMode="auto">
                    <a:xfrm>
                      <a:off x="0" y="0"/>
                      <a:ext cx="160020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B5A">
        <w:rPr>
          <w:b/>
        </w:rPr>
        <w:t xml:space="preserve">      Grundschule Sudmerberg</w:t>
      </w:r>
      <w:r w:rsidRPr="00F50B5A">
        <w:tab/>
      </w:r>
      <w:r w:rsidRPr="00F50B5A">
        <w:tab/>
        <w:t xml:space="preserve"> </w:t>
      </w:r>
    </w:p>
    <w:p w:rsidR="00F656BB" w:rsidRPr="00F50B5A" w:rsidRDefault="00F656BB" w:rsidP="00F656BB"/>
    <w:p w:rsidR="00F656BB" w:rsidRPr="00F50B5A" w:rsidRDefault="00F656BB" w:rsidP="00F656BB">
      <w:r w:rsidRPr="00F50B5A">
        <w:t xml:space="preserve"> Grundschule Sudmerberg, </w:t>
      </w:r>
      <w:proofErr w:type="spellStart"/>
      <w:r w:rsidRPr="00F50B5A">
        <w:t>Sudmerbergstraße</w:t>
      </w:r>
      <w:proofErr w:type="spellEnd"/>
      <w:r w:rsidRPr="00F50B5A">
        <w:t xml:space="preserve"> 100, 38640 Goslar</w:t>
      </w:r>
    </w:p>
    <w:p w:rsidR="00F656BB" w:rsidRDefault="00F656BB" w:rsidP="00F656BB"/>
    <w:p w:rsidR="00F656BB" w:rsidRDefault="00F656BB" w:rsidP="00F656BB"/>
    <w:p w:rsidR="000959E8" w:rsidRDefault="00F656BB">
      <w:r>
        <w:tab/>
      </w:r>
      <w:r>
        <w:tab/>
      </w:r>
      <w:r>
        <w:tab/>
      </w:r>
      <w:r>
        <w:tab/>
      </w:r>
      <w:r>
        <w:tab/>
      </w:r>
      <w:r>
        <w:tab/>
      </w:r>
      <w:r>
        <w:tab/>
      </w:r>
      <w:r>
        <w:tab/>
      </w:r>
      <w:r w:rsidR="0051134B">
        <w:tab/>
      </w:r>
      <w:r w:rsidR="0051134B">
        <w:tab/>
      </w:r>
      <w:r w:rsidR="0051134B">
        <w:tab/>
      </w:r>
      <w:r>
        <w:t>19.05.2020</w:t>
      </w:r>
    </w:p>
    <w:p w:rsidR="00F656BB" w:rsidRDefault="00F656BB" w:rsidP="003729AA">
      <w:pPr>
        <w:jc w:val="both"/>
      </w:pPr>
      <w:r>
        <w:t>Sehr geehrte Eltern,</w:t>
      </w:r>
    </w:p>
    <w:p w:rsidR="00F656BB" w:rsidRDefault="00F656BB" w:rsidP="003729AA">
      <w:pPr>
        <w:jc w:val="both"/>
      </w:pPr>
      <w:r>
        <w:t>die Landesregierung hat nun für alle Klassen den stufenweise</w:t>
      </w:r>
      <w:r w:rsidR="003729AA">
        <w:t>n</w:t>
      </w:r>
      <w:r>
        <w:t xml:space="preserve"> Wiederbeginn festgelegt. Wie Sie der untenstehenden Grafik entnehmen können, haben die 4. Klassen bereits am 04.05. den Unte</w:t>
      </w:r>
      <w:r w:rsidR="003729AA">
        <w:t>rricht wieder</w:t>
      </w:r>
      <w:r>
        <w:t>aufgenommen. Gestern, den 18.05.</w:t>
      </w:r>
      <w:r w:rsidR="003729AA">
        <w:t>,</w:t>
      </w:r>
      <w:r>
        <w:t xml:space="preserve"> kamen dann die 3. Klassen hinzu.</w:t>
      </w:r>
      <w:r w:rsidR="003729AA">
        <w:t xml:space="preserve"> Ab dem 03.06. (nach dem Pfingstwochenende) kehrt unsere 2. Klasse zurück und wir freuen uns auch auf den 15.06., wenn auch unsere beiden ersten Klassen wieder in der Schule sind.</w:t>
      </w:r>
    </w:p>
    <w:tbl>
      <w:tblPr>
        <w:tblStyle w:val="Tabellenraster"/>
        <w:tblW w:w="0" w:type="auto"/>
        <w:tblLook w:val="04A0" w:firstRow="1" w:lastRow="0" w:firstColumn="1" w:lastColumn="0" w:noHBand="0" w:noVBand="1"/>
      </w:tblPr>
      <w:tblGrid>
        <w:gridCol w:w="592"/>
        <w:gridCol w:w="647"/>
        <w:gridCol w:w="672"/>
        <w:gridCol w:w="646"/>
        <w:gridCol w:w="646"/>
        <w:gridCol w:w="646"/>
        <w:gridCol w:w="639"/>
        <w:gridCol w:w="646"/>
        <w:gridCol w:w="646"/>
        <w:gridCol w:w="646"/>
        <w:gridCol w:w="647"/>
        <w:gridCol w:w="671"/>
        <w:gridCol w:w="671"/>
        <w:gridCol w:w="647"/>
      </w:tblGrid>
      <w:tr w:rsidR="000959E8" w:rsidTr="00F656BB">
        <w:tc>
          <w:tcPr>
            <w:tcW w:w="592" w:type="dxa"/>
            <w:vMerge w:val="restart"/>
          </w:tcPr>
          <w:p w:rsidR="000959E8" w:rsidRDefault="000959E8"/>
          <w:p w:rsidR="000959E8" w:rsidRDefault="000959E8"/>
          <w:p w:rsidR="000959E8" w:rsidRDefault="000959E8"/>
          <w:p w:rsidR="000959E8" w:rsidRPr="000959E8" w:rsidRDefault="000959E8">
            <w:pPr>
              <w:rPr>
                <w:b/>
              </w:rPr>
            </w:pPr>
            <w:r w:rsidRPr="000959E8">
              <w:rPr>
                <w:b/>
              </w:rPr>
              <w:t>GS</w:t>
            </w:r>
          </w:p>
        </w:tc>
        <w:tc>
          <w:tcPr>
            <w:tcW w:w="1965" w:type="dxa"/>
            <w:gridSpan w:val="3"/>
          </w:tcPr>
          <w:p w:rsidR="000959E8" w:rsidRPr="000959E8" w:rsidRDefault="000959E8" w:rsidP="000959E8">
            <w:pPr>
              <w:jc w:val="center"/>
              <w:rPr>
                <w:b/>
              </w:rPr>
            </w:pPr>
            <w:r w:rsidRPr="000959E8">
              <w:rPr>
                <w:b/>
              </w:rPr>
              <w:t>Phase A</w:t>
            </w:r>
          </w:p>
        </w:tc>
        <w:tc>
          <w:tcPr>
            <w:tcW w:w="1292" w:type="dxa"/>
            <w:gridSpan w:val="2"/>
          </w:tcPr>
          <w:p w:rsidR="000959E8" w:rsidRPr="000959E8" w:rsidRDefault="000959E8" w:rsidP="000959E8">
            <w:pPr>
              <w:jc w:val="center"/>
              <w:rPr>
                <w:b/>
              </w:rPr>
            </w:pPr>
            <w:r w:rsidRPr="000959E8">
              <w:rPr>
                <w:b/>
              </w:rPr>
              <w:t>Phase B</w:t>
            </w:r>
          </w:p>
        </w:tc>
        <w:tc>
          <w:tcPr>
            <w:tcW w:w="5213" w:type="dxa"/>
            <w:gridSpan w:val="8"/>
          </w:tcPr>
          <w:p w:rsidR="000959E8" w:rsidRPr="000959E8" w:rsidRDefault="000959E8" w:rsidP="000959E8">
            <w:pPr>
              <w:jc w:val="center"/>
              <w:rPr>
                <w:b/>
              </w:rPr>
            </w:pPr>
            <w:r w:rsidRPr="000959E8">
              <w:rPr>
                <w:b/>
              </w:rPr>
              <w:t>Phase C</w:t>
            </w:r>
          </w:p>
        </w:tc>
      </w:tr>
      <w:tr w:rsidR="000959E8" w:rsidTr="00F656BB">
        <w:tc>
          <w:tcPr>
            <w:tcW w:w="592" w:type="dxa"/>
            <w:vMerge/>
          </w:tcPr>
          <w:p w:rsidR="000959E8" w:rsidRDefault="000959E8"/>
        </w:tc>
        <w:tc>
          <w:tcPr>
            <w:tcW w:w="647" w:type="dxa"/>
          </w:tcPr>
          <w:p w:rsidR="000959E8" w:rsidRPr="000959E8" w:rsidRDefault="000959E8">
            <w:pPr>
              <w:rPr>
                <w:sz w:val="16"/>
                <w:szCs w:val="16"/>
              </w:rPr>
            </w:pPr>
            <w:r w:rsidRPr="000959E8">
              <w:rPr>
                <w:sz w:val="16"/>
                <w:szCs w:val="16"/>
              </w:rPr>
              <w:t>17.KW</w:t>
            </w:r>
          </w:p>
        </w:tc>
        <w:tc>
          <w:tcPr>
            <w:tcW w:w="672" w:type="dxa"/>
          </w:tcPr>
          <w:p w:rsidR="000959E8" w:rsidRPr="000959E8" w:rsidRDefault="000959E8">
            <w:pPr>
              <w:rPr>
                <w:sz w:val="16"/>
                <w:szCs w:val="16"/>
              </w:rPr>
            </w:pPr>
            <w:r w:rsidRPr="000959E8">
              <w:rPr>
                <w:sz w:val="16"/>
                <w:szCs w:val="16"/>
              </w:rPr>
              <w:t>18.KW</w:t>
            </w:r>
          </w:p>
        </w:tc>
        <w:tc>
          <w:tcPr>
            <w:tcW w:w="646" w:type="dxa"/>
          </w:tcPr>
          <w:p w:rsidR="000959E8" w:rsidRPr="000959E8" w:rsidRDefault="000959E8">
            <w:pPr>
              <w:rPr>
                <w:sz w:val="16"/>
                <w:szCs w:val="16"/>
              </w:rPr>
            </w:pPr>
            <w:r w:rsidRPr="000959E8">
              <w:rPr>
                <w:sz w:val="16"/>
                <w:szCs w:val="16"/>
              </w:rPr>
              <w:t>19.KW</w:t>
            </w:r>
          </w:p>
        </w:tc>
        <w:tc>
          <w:tcPr>
            <w:tcW w:w="646" w:type="dxa"/>
          </w:tcPr>
          <w:p w:rsidR="000959E8" w:rsidRPr="000959E8" w:rsidRDefault="000959E8">
            <w:pPr>
              <w:rPr>
                <w:sz w:val="16"/>
                <w:szCs w:val="16"/>
              </w:rPr>
            </w:pPr>
            <w:r w:rsidRPr="000959E8">
              <w:rPr>
                <w:sz w:val="16"/>
                <w:szCs w:val="16"/>
              </w:rPr>
              <w:t>20.KW</w:t>
            </w:r>
          </w:p>
        </w:tc>
        <w:tc>
          <w:tcPr>
            <w:tcW w:w="646" w:type="dxa"/>
          </w:tcPr>
          <w:p w:rsidR="000959E8" w:rsidRPr="000959E8" w:rsidRDefault="000959E8">
            <w:pPr>
              <w:rPr>
                <w:sz w:val="16"/>
                <w:szCs w:val="16"/>
              </w:rPr>
            </w:pPr>
            <w:r w:rsidRPr="000959E8">
              <w:rPr>
                <w:sz w:val="16"/>
                <w:szCs w:val="16"/>
              </w:rPr>
              <w:t>21.KW</w:t>
            </w:r>
          </w:p>
        </w:tc>
        <w:tc>
          <w:tcPr>
            <w:tcW w:w="639" w:type="dxa"/>
          </w:tcPr>
          <w:p w:rsidR="000959E8" w:rsidRPr="000959E8" w:rsidRDefault="000959E8">
            <w:pPr>
              <w:rPr>
                <w:sz w:val="16"/>
                <w:szCs w:val="16"/>
              </w:rPr>
            </w:pPr>
            <w:r w:rsidRPr="000959E8">
              <w:rPr>
                <w:sz w:val="16"/>
                <w:szCs w:val="16"/>
              </w:rPr>
              <w:t>22KW</w:t>
            </w:r>
          </w:p>
        </w:tc>
        <w:tc>
          <w:tcPr>
            <w:tcW w:w="646" w:type="dxa"/>
          </w:tcPr>
          <w:p w:rsidR="000959E8" w:rsidRPr="000959E8" w:rsidRDefault="000959E8">
            <w:pPr>
              <w:rPr>
                <w:sz w:val="16"/>
                <w:szCs w:val="16"/>
              </w:rPr>
            </w:pPr>
            <w:r w:rsidRPr="000959E8">
              <w:rPr>
                <w:sz w:val="16"/>
                <w:szCs w:val="16"/>
              </w:rPr>
              <w:t>23.KW</w:t>
            </w:r>
          </w:p>
        </w:tc>
        <w:tc>
          <w:tcPr>
            <w:tcW w:w="646" w:type="dxa"/>
          </w:tcPr>
          <w:p w:rsidR="000959E8" w:rsidRPr="000959E8" w:rsidRDefault="000959E8">
            <w:pPr>
              <w:rPr>
                <w:sz w:val="16"/>
                <w:szCs w:val="16"/>
              </w:rPr>
            </w:pPr>
            <w:r w:rsidRPr="000959E8">
              <w:rPr>
                <w:sz w:val="16"/>
                <w:szCs w:val="16"/>
              </w:rPr>
              <w:t>24.KW</w:t>
            </w:r>
          </w:p>
        </w:tc>
        <w:tc>
          <w:tcPr>
            <w:tcW w:w="646" w:type="dxa"/>
          </w:tcPr>
          <w:p w:rsidR="000959E8" w:rsidRPr="000959E8" w:rsidRDefault="000959E8">
            <w:pPr>
              <w:rPr>
                <w:sz w:val="16"/>
                <w:szCs w:val="16"/>
              </w:rPr>
            </w:pPr>
            <w:r w:rsidRPr="000959E8">
              <w:rPr>
                <w:sz w:val="16"/>
                <w:szCs w:val="16"/>
              </w:rPr>
              <w:t>25.KW</w:t>
            </w:r>
          </w:p>
        </w:tc>
        <w:tc>
          <w:tcPr>
            <w:tcW w:w="647" w:type="dxa"/>
          </w:tcPr>
          <w:p w:rsidR="000959E8" w:rsidRPr="000959E8" w:rsidRDefault="000959E8">
            <w:pPr>
              <w:rPr>
                <w:sz w:val="16"/>
                <w:szCs w:val="16"/>
              </w:rPr>
            </w:pPr>
            <w:r>
              <w:rPr>
                <w:sz w:val="16"/>
                <w:szCs w:val="16"/>
              </w:rPr>
              <w:t>26.KW</w:t>
            </w:r>
          </w:p>
        </w:tc>
        <w:tc>
          <w:tcPr>
            <w:tcW w:w="671" w:type="dxa"/>
          </w:tcPr>
          <w:p w:rsidR="000959E8" w:rsidRPr="000959E8" w:rsidRDefault="000959E8">
            <w:pPr>
              <w:rPr>
                <w:sz w:val="16"/>
                <w:szCs w:val="16"/>
              </w:rPr>
            </w:pPr>
            <w:r>
              <w:rPr>
                <w:sz w:val="16"/>
                <w:szCs w:val="16"/>
              </w:rPr>
              <w:t>27.KW</w:t>
            </w:r>
          </w:p>
        </w:tc>
        <w:tc>
          <w:tcPr>
            <w:tcW w:w="671" w:type="dxa"/>
          </w:tcPr>
          <w:p w:rsidR="000959E8" w:rsidRPr="000959E8" w:rsidRDefault="000959E8">
            <w:pPr>
              <w:rPr>
                <w:sz w:val="16"/>
                <w:szCs w:val="16"/>
              </w:rPr>
            </w:pPr>
            <w:r>
              <w:rPr>
                <w:sz w:val="16"/>
                <w:szCs w:val="16"/>
              </w:rPr>
              <w:t>28.KW</w:t>
            </w:r>
          </w:p>
        </w:tc>
        <w:tc>
          <w:tcPr>
            <w:tcW w:w="647" w:type="dxa"/>
          </w:tcPr>
          <w:p w:rsidR="000959E8" w:rsidRPr="000959E8" w:rsidRDefault="000959E8">
            <w:pPr>
              <w:rPr>
                <w:sz w:val="16"/>
                <w:szCs w:val="16"/>
              </w:rPr>
            </w:pPr>
            <w:r>
              <w:rPr>
                <w:sz w:val="16"/>
                <w:szCs w:val="16"/>
              </w:rPr>
              <w:t>29.KW</w:t>
            </w:r>
          </w:p>
        </w:tc>
      </w:tr>
      <w:tr w:rsidR="000959E8" w:rsidTr="00F656BB">
        <w:tc>
          <w:tcPr>
            <w:tcW w:w="592" w:type="dxa"/>
            <w:vMerge/>
          </w:tcPr>
          <w:p w:rsidR="000959E8" w:rsidRDefault="000959E8"/>
        </w:tc>
        <w:tc>
          <w:tcPr>
            <w:tcW w:w="647" w:type="dxa"/>
          </w:tcPr>
          <w:p w:rsidR="000959E8" w:rsidRPr="000959E8" w:rsidRDefault="000959E8">
            <w:pPr>
              <w:rPr>
                <w:sz w:val="16"/>
                <w:szCs w:val="16"/>
              </w:rPr>
            </w:pPr>
            <w:r w:rsidRPr="000959E8">
              <w:rPr>
                <w:sz w:val="16"/>
                <w:szCs w:val="16"/>
              </w:rPr>
              <w:t>22</w:t>
            </w:r>
            <w:r>
              <w:rPr>
                <w:sz w:val="16"/>
                <w:szCs w:val="16"/>
              </w:rPr>
              <w:t>.-26.4.</w:t>
            </w:r>
          </w:p>
        </w:tc>
        <w:tc>
          <w:tcPr>
            <w:tcW w:w="672" w:type="dxa"/>
          </w:tcPr>
          <w:p w:rsidR="000959E8" w:rsidRPr="000959E8" w:rsidRDefault="000959E8">
            <w:pPr>
              <w:rPr>
                <w:sz w:val="16"/>
                <w:szCs w:val="16"/>
              </w:rPr>
            </w:pPr>
            <w:r>
              <w:rPr>
                <w:sz w:val="16"/>
                <w:szCs w:val="16"/>
              </w:rPr>
              <w:t>27.04.-03.5.</w:t>
            </w:r>
          </w:p>
        </w:tc>
        <w:tc>
          <w:tcPr>
            <w:tcW w:w="646" w:type="dxa"/>
          </w:tcPr>
          <w:p w:rsidR="000959E8" w:rsidRPr="000959E8" w:rsidRDefault="000959E8">
            <w:pPr>
              <w:rPr>
                <w:sz w:val="16"/>
                <w:szCs w:val="16"/>
              </w:rPr>
            </w:pPr>
            <w:r>
              <w:rPr>
                <w:sz w:val="16"/>
                <w:szCs w:val="16"/>
              </w:rPr>
              <w:t>04.-10.05.</w:t>
            </w:r>
          </w:p>
        </w:tc>
        <w:tc>
          <w:tcPr>
            <w:tcW w:w="646" w:type="dxa"/>
          </w:tcPr>
          <w:p w:rsidR="000959E8" w:rsidRPr="000959E8" w:rsidRDefault="000959E8">
            <w:pPr>
              <w:rPr>
                <w:sz w:val="16"/>
                <w:szCs w:val="16"/>
              </w:rPr>
            </w:pPr>
            <w:r>
              <w:rPr>
                <w:sz w:val="16"/>
                <w:szCs w:val="16"/>
              </w:rPr>
              <w:t>11.-17.05.</w:t>
            </w:r>
          </w:p>
        </w:tc>
        <w:tc>
          <w:tcPr>
            <w:tcW w:w="646" w:type="dxa"/>
          </w:tcPr>
          <w:p w:rsidR="000959E8" w:rsidRPr="000959E8" w:rsidRDefault="000959E8">
            <w:pPr>
              <w:rPr>
                <w:sz w:val="16"/>
                <w:szCs w:val="16"/>
              </w:rPr>
            </w:pPr>
            <w:r>
              <w:rPr>
                <w:sz w:val="16"/>
                <w:szCs w:val="16"/>
              </w:rPr>
              <w:t>18.-24.05.</w:t>
            </w:r>
          </w:p>
        </w:tc>
        <w:tc>
          <w:tcPr>
            <w:tcW w:w="639" w:type="dxa"/>
          </w:tcPr>
          <w:p w:rsidR="000959E8" w:rsidRPr="000959E8" w:rsidRDefault="000959E8">
            <w:pPr>
              <w:rPr>
                <w:sz w:val="16"/>
                <w:szCs w:val="16"/>
              </w:rPr>
            </w:pPr>
            <w:r>
              <w:rPr>
                <w:sz w:val="16"/>
                <w:szCs w:val="16"/>
              </w:rPr>
              <w:t>25.-31.05.</w:t>
            </w:r>
          </w:p>
        </w:tc>
        <w:tc>
          <w:tcPr>
            <w:tcW w:w="646" w:type="dxa"/>
          </w:tcPr>
          <w:p w:rsidR="000959E8" w:rsidRPr="000959E8" w:rsidRDefault="000959E8">
            <w:pPr>
              <w:rPr>
                <w:sz w:val="16"/>
                <w:szCs w:val="16"/>
              </w:rPr>
            </w:pPr>
            <w:r>
              <w:rPr>
                <w:sz w:val="16"/>
                <w:szCs w:val="16"/>
              </w:rPr>
              <w:t>01.-07.06.</w:t>
            </w:r>
          </w:p>
        </w:tc>
        <w:tc>
          <w:tcPr>
            <w:tcW w:w="646" w:type="dxa"/>
          </w:tcPr>
          <w:p w:rsidR="000959E8" w:rsidRPr="000959E8" w:rsidRDefault="000959E8">
            <w:pPr>
              <w:rPr>
                <w:sz w:val="16"/>
                <w:szCs w:val="16"/>
              </w:rPr>
            </w:pPr>
            <w:r>
              <w:rPr>
                <w:sz w:val="16"/>
                <w:szCs w:val="16"/>
              </w:rPr>
              <w:t>08.-14.06.</w:t>
            </w:r>
          </w:p>
        </w:tc>
        <w:tc>
          <w:tcPr>
            <w:tcW w:w="646" w:type="dxa"/>
          </w:tcPr>
          <w:p w:rsidR="000959E8" w:rsidRPr="000959E8" w:rsidRDefault="00F656BB">
            <w:pPr>
              <w:rPr>
                <w:sz w:val="16"/>
                <w:szCs w:val="16"/>
              </w:rPr>
            </w:pPr>
            <w:r>
              <w:rPr>
                <w:sz w:val="16"/>
                <w:szCs w:val="16"/>
              </w:rPr>
              <w:t>15.-21.06.</w:t>
            </w:r>
          </w:p>
        </w:tc>
        <w:tc>
          <w:tcPr>
            <w:tcW w:w="647" w:type="dxa"/>
          </w:tcPr>
          <w:p w:rsidR="000959E8" w:rsidRPr="000959E8" w:rsidRDefault="00F656BB">
            <w:pPr>
              <w:rPr>
                <w:sz w:val="16"/>
                <w:szCs w:val="16"/>
              </w:rPr>
            </w:pPr>
            <w:r>
              <w:rPr>
                <w:sz w:val="16"/>
                <w:szCs w:val="16"/>
              </w:rPr>
              <w:t>22.-28.06.</w:t>
            </w:r>
          </w:p>
        </w:tc>
        <w:tc>
          <w:tcPr>
            <w:tcW w:w="671" w:type="dxa"/>
          </w:tcPr>
          <w:p w:rsidR="000959E8" w:rsidRPr="000959E8" w:rsidRDefault="00F656BB">
            <w:pPr>
              <w:rPr>
                <w:sz w:val="16"/>
                <w:szCs w:val="16"/>
              </w:rPr>
            </w:pPr>
            <w:r>
              <w:rPr>
                <w:sz w:val="16"/>
                <w:szCs w:val="16"/>
              </w:rPr>
              <w:t>29.06.-05.07.</w:t>
            </w:r>
          </w:p>
        </w:tc>
        <w:tc>
          <w:tcPr>
            <w:tcW w:w="671" w:type="dxa"/>
          </w:tcPr>
          <w:p w:rsidR="000959E8" w:rsidRPr="000959E8" w:rsidRDefault="00F656BB">
            <w:pPr>
              <w:rPr>
                <w:sz w:val="16"/>
                <w:szCs w:val="16"/>
              </w:rPr>
            </w:pPr>
            <w:r>
              <w:rPr>
                <w:sz w:val="16"/>
                <w:szCs w:val="16"/>
              </w:rPr>
              <w:t>06.07.-12.07.</w:t>
            </w:r>
          </w:p>
        </w:tc>
        <w:tc>
          <w:tcPr>
            <w:tcW w:w="647" w:type="dxa"/>
          </w:tcPr>
          <w:p w:rsidR="000959E8" w:rsidRPr="000959E8" w:rsidRDefault="00F656BB">
            <w:pPr>
              <w:rPr>
                <w:sz w:val="16"/>
                <w:szCs w:val="16"/>
              </w:rPr>
            </w:pPr>
            <w:r>
              <w:rPr>
                <w:sz w:val="16"/>
                <w:szCs w:val="16"/>
              </w:rPr>
              <w:t>13.-15.07.</w:t>
            </w:r>
          </w:p>
        </w:tc>
      </w:tr>
      <w:tr w:rsidR="000959E8" w:rsidTr="00F656BB">
        <w:tc>
          <w:tcPr>
            <w:tcW w:w="592" w:type="dxa"/>
            <w:vMerge/>
          </w:tcPr>
          <w:p w:rsidR="000959E8" w:rsidRDefault="000959E8"/>
        </w:tc>
        <w:tc>
          <w:tcPr>
            <w:tcW w:w="1319" w:type="dxa"/>
            <w:gridSpan w:val="2"/>
          </w:tcPr>
          <w:p w:rsidR="000959E8" w:rsidRPr="00F656BB" w:rsidRDefault="000959E8">
            <w:pPr>
              <w:rPr>
                <w:sz w:val="16"/>
                <w:szCs w:val="16"/>
              </w:rPr>
            </w:pPr>
          </w:p>
        </w:tc>
        <w:tc>
          <w:tcPr>
            <w:tcW w:w="7151" w:type="dxa"/>
            <w:gridSpan w:val="11"/>
            <w:shd w:val="clear" w:color="auto" w:fill="1F4E79" w:themeFill="accent1" w:themeFillShade="80"/>
          </w:tcPr>
          <w:p w:rsidR="000959E8" w:rsidRDefault="00F656BB">
            <w:r>
              <w:t>4. Klassen</w:t>
            </w:r>
          </w:p>
        </w:tc>
      </w:tr>
      <w:tr w:rsidR="00F656BB" w:rsidTr="00F656BB">
        <w:tc>
          <w:tcPr>
            <w:tcW w:w="592" w:type="dxa"/>
            <w:vMerge/>
          </w:tcPr>
          <w:p w:rsidR="00F656BB" w:rsidRDefault="00F656BB"/>
        </w:tc>
        <w:tc>
          <w:tcPr>
            <w:tcW w:w="2611" w:type="dxa"/>
            <w:gridSpan w:val="4"/>
          </w:tcPr>
          <w:p w:rsidR="00F656BB" w:rsidRDefault="00F656BB"/>
        </w:tc>
        <w:tc>
          <w:tcPr>
            <w:tcW w:w="5859" w:type="dxa"/>
            <w:gridSpan w:val="9"/>
            <w:shd w:val="clear" w:color="auto" w:fill="2E74B5" w:themeFill="accent1" w:themeFillShade="BF"/>
          </w:tcPr>
          <w:p w:rsidR="00F656BB" w:rsidRDefault="00F656BB">
            <w:r>
              <w:t>3. Klassen</w:t>
            </w:r>
          </w:p>
        </w:tc>
      </w:tr>
      <w:tr w:rsidR="00F656BB" w:rsidTr="00F656BB">
        <w:tc>
          <w:tcPr>
            <w:tcW w:w="592" w:type="dxa"/>
            <w:vMerge/>
          </w:tcPr>
          <w:p w:rsidR="00F656BB" w:rsidRDefault="00F656BB"/>
        </w:tc>
        <w:tc>
          <w:tcPr>
            <w:tcW w:w="3896" w:type="dxa"/>
            <w:gridSpan w:val="6"/>
          </w:tcPr>
          <w:p w:rsidR="00F656BB" w:rsidRDefault="00F656BB"/>
        </w:tc>
        <w:tc>
          <w:tcPr>
            <w:tcW w:w="4574" w:type="dxa"/>
            <w:gridSpan w:val="7"/>
            <w:shd w:val="clear" w:color="auto" w:fill="9CC2E5" w:themeFill="accent1" w:themeFillTint="99"/>
          </w:tcPr>
          <w:p w:rsidR="00F656BB" w:rsidRDefault="00F656BB">
            <w:r>
              <w:t>2. Klassen</w:t>
            </w:r>
          </w:p>
        </w:tc>
      </w:tr>
      <w:tr w:rsidR="00F656BB" w:rsidTr="00F656BB">
        <w:tc>
          <w:tcPr>
            <w:tcW w:w="592" w:type="dxa"/>
            <w:vMerge/>
          </w:tcPr>
          <w:p w:rsidR="00F656BB" w:rsidRDefault="00F656BB"/>
        </w:tc>
        <w:tc>
          <w:tcPr>
            <w:tcW w:w="5188" w:type="dxa"/>
            <w:gridSpan w:val="8"/>
          </w:tcPr>
          <w:p w:rsidR="00F656BB" w:rsidRDefault="00F656BB"/>
        </w:tc>
        <w:tc>
          <w:tcPr>
            <w:tcW w:w="3282" w:type="dxa"/>
            <w:gridSpan w:val="5"/>
            <w:shd w:val="clear" w:color="auto" w:fill="DEEAF6" w:themeFill="accent1" w:themeFillTint="33"/>
          </w:tcPr>
          <w:p w:rsidR="00F656BB" w:rsidRDefault="00F656BB" w:rsidP="00F656BB">
            <w:pPr>
              <w:pStyle w:val="Listenabsatz"/>
              <w:numPr>
                <w:ilvl w:val="0"/>
                <w:numId w:val="1"/>
              </w:numPr>
            </w:pPr>
            <w:r>
              <w:t>Klassen</w:t>
            </w:r>
          </w:p>
        </w:tc>
      </w:tr>
    </w:tbl>
    <w:p w:rsidR="000959E8" w:rsidRDefault="000959E8"/>
    <w:p w:rsidR="003729AA" w:rsidRDefault="003729AA" w:rsidP="00872695">
      <w:pPr>
        <w:jc w:val="both"/>
      </w:pPr>
      <w:r>
        <w:t>Alle Mitarbeiterinnen und Mitarbeiter unserer Schule wissen, wie anstrengend die zurückliegende Zeit für Sie und Ihre Familien war und teilweise auch bleiben wird.</w:t>
      </w:r>
      <w:r w:rsidR="0051134B">
        <w:t xml:space="preserve"> Ihre Klassenlehrerin versuchen Sie bestmöglich zu unterstützen.</w:t>
      </w:r>
    </w:p>
    <w:p w:rsidR="003729AA" w:rsidRDefault="003729AA" w:rsidP="00872695">
      <w:pPr>
        <w:jc w:val="both"/>
      </w:pPr>
      <w:r>
        <w:t>Jede Klasse wird in zwei Gruppen geteilt, die im täglichen Wechsel unterrichtet werden. Dies ist notwendig, um den nötigen Abstand in den Klassenräumen und im Schulgebäude gewährleisten zu können. An welchen Tagen Ihr Kind am Unterricht teilnimmt und alle organisatorischen Fragen zum Unterricht und zum Lerne</w:t>
      </w:r>
      <w:r w:rsidR="0051134B">
        <w:t>n zu Hause, erfahren Sie von Ihrer</w:t>
      </w:r>
      <w:r>
        <w:t xml:space="preserve"> Klassenlehrerin</w:t>
      </w:r>
      <w:r w:rsidR="0051134B">
        <w:t>.</w:t>
      </w:r>
    </w:p>
    <w:p w:rsidR="0051134B" w:rsidRDefault="0051134B" w:rsidP="00872695">
      <w:pPr>
        <w:jc w:val="both"/>
      </w:pPr>
      <w:r>
        <w:t xml:space="preserve">Weiterhin bleibt das Angebot der Notgruppe an unserer Schule von 8.00 – 13.00 Uhr bestehen. Hierbei bitte ich Sie um eine formlose Anmeldung per </w:t>
      </w:r>
      <w:proofErr w:type="spellStart"/>
      <w:r>
        <w:t>e-mail</w:t>
      </w:r>
      <w:proofErr w:type="spellEnd"/>
      <w:r>
        <w:t xml:space="preserve"> und eine Bestätigung Ihres Arbeitgebers, die entweder ausweist, dass Sie zu einem systemrelevanten Beruf gehören, oder einen Härtefall dokumentiert. Hierbei bitte ich Sie sehr um Ihr Verständnis, dass Ihr Anspruch auf einen Notgruppenplatz zunächst geprüft werden muss.</w:t>
      </w:r>
    </w:p>
    <w:p w:rsidR="0051134B" w:rsidRDefault="0051134B" w:rsidP="00872695">
      <w:pPr>
        <w:jc w:val="both"/>
      </w:pPr>
      <w:r>
        <w:t>Im Sinne des Hygieneplans unserer Schule wird das Tragen eines Mund-Nase-Schutzes empfohlen. Das Tragen während der Lernzeit im Klassenraum ist nicht verpflichtend. Alle werden jedoch genau darauf achten, dass der Abstand von 1,50 Metern eingehalten wird. So werden auch die Pausenzeiten Ih</w:t>
      </w:r>
      <w:r w:rsidR="00872695">
        <w:t xml:space="preserve">rer Kinder unterschiedlich sein. </w:t>
      </w:r>
    </w:p>
    <w:p w:rsidR="00872695" w:rsidRDefault="00872695" w:rsidP="00872695">
      <w:pPr>
        <w:jc w:val="both"/>
      </w:pPr>
      <w:r>
        <w:t xml:space="preserve">Wenn Ihr Kind einer Risikogruppe angehört oder mit einer Person, die in einer Risikogruppe ist, in einem Haushalt lebt, </w:t>
      </w:r>
      <w:r w:rsidRPr="00872695">
        <w:rPr>
          <w:b/>
        </w:rPr>
        <w:t>treffen Sie die Entscheidung</w:t>
      </w:r>
      <w:r>
        <w:t>, ob Ihr Kind weiterhin nur im Home-</w:t>
      </w:r>
      <w:proofErr w:type="spellStart"/>
      <w:r>
        <w:t>schooling</w:t>
      </w:r>
      <w:proofErr w:type="spellEnd"/>
      <w:r>
        <w:t xml:space="preserve"> bleibt.</w:t>
      </w:r>
    </w:p>
    <w:p w:rsidR="00872695" w:rsidRDefault="00872695" w:rsidP="00872695">
      <w:pPr>
        <w:jc w:val="both"/>
      </w:pPr>
      <w:r>
        <w:t>Ich wünsche Ihnen und Ihren Familien alles Gute, machen wir das Beste draus.</w:t>
      </w:r>
    </w:p>
    <w:p w:rsidR="003729AA" w:rsidRDefault="00872695" w:rsidP="00872695">
      <w:pPr>
        <w:jc w:val="both"/>
      </w:pPr>
      <w:r>
        <w:t>Herzliche Grüße gez. Tanja Lichter</w:t>
      </w:r>
      <w:bookmarkStart w:id="0" w:name="_GoBack"/>
      <w:bookmarkEnd w:id="0"/>
    </w:p>
    <w:sectPr w:rsidR="003729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A467C"/>
    <w:multiLevelType w:val="hybridMultilevel"/>
    <w:tmpl w:val="69B228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E8"/>
    <w:rsid w:val="000959E8"/>
    <w:rsid w:val="003729AA"/>
    <w:rsid w:val="0051134B"/>
    <w:rsid w:val="00872695"/>
    <w:rsid w:val="00F65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E775"/>
  <w15:chartTrackingRefBased/>
  <w15:docId w15:val="{6C3DEEE6-AE9E-48C5-8220-72251E99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9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65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Stadt Goslar</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Lichter, Tatiana</dc:creator>
  <cp:keywords/>
  <dc:description/>
  <cp:lastModifiedBy>Lichter, Tatiana</cp:lastModifiedBy>
  <cp:revision>1</cp:revision>
  <dcterms:created xsi:type="dcterms:W3CDTF">2020-05-19T10:19:00Z</dcterms:created>
  <dcterms:modified xsi:type="dcterms:W3CDTF">2020-05-19T11:07:00Z</dcterms:modified>
</cp:coreProperties>
</file>