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21"/>
        <w:tblW w:w="10875" w:type="dxa"/>
        <w:tblLayout w:type="fixed"/>
        <w:tblLook w:val="04A0" w:firstRow="1" w:lastRow="0" w:firstColumn="1" w:lastColumn="0" w:noHBand="0" w:noVBand="1"/>
      </w:tblPr>
      <w:tblGrid>
        <w:gridCol w:w="1407"/>
        <w:gridCol w:w="8618"/>
        <w:gridCol w:w="850"/>
      </w:tblGrid>
      <w:tr w:rsidR="0098374F" w14:paraId="46715CBC" w14:textId="77777777" w:rsidTr="009D0360">
        <w:trPr>
          <w:cantSplit/>
          <w:trHeight w:hRule="exact" w:val="861"/>
        </w:trPr>
        <w:tc>
          <w:tcPr>
            <w:tcW w:w="1407" w:type="dxa"/>
            <w:tcBorders>
              <w:top w:val="single" w:sz="4" w:space="0" w:color="000000"/>
              <w:left w:val="single" w:sz="8" w:space="0" w:color="000000"/>
              <w:bottom w:val="single" w:sz="4" w:space="0" w:color="000000"/>
              <w:right w:val="nil"/>
            </w:tcBorders>
          </w:tcPr>
          <w:p w14:paraId="646FE62D" w14:textId="77777777" w:rsidR="0098374F" w:rsidRDefault="0098374F">
            <w:pPr>
              <w:spacing w:after="0" w:line="240" w:lineRule="auto"/>
              <w:jc w:val="center"/>
              <w:rPr>
                <w:rFonts w:cs="Arial"/>
                <w:b/>
              </w:rPr>
            </w:pPr>
            <w:r>
              <w:rPr>
                <w:rFonts w:cs="Arial"/>
                <w:b/>
              </w:rPr>
              <w:t>Modul</w:t>
            </w:r>
            <w:r>
              <w:rPr>
                <w:rFonts w:cs="Arial"/>
                <w:b/>
              </w:rPr>
              <w:softHyphen/>
              <w:t>angebote</w:t>
            </w:r>
          </w:p>
          <w:p w14:paraId="33DE2CDB" w14:textId="77777777" w:rsidR="0098374F" w:rsidRDefault="0098374F">
            <w:pPr>
              <w:spacing w:after="0" w:line="240" w:lineRule="auto"/>
              <w:jc w:val="center"/>
              <w:rPr>
                <w:rFonts w:cs="Arial"/>
                <w:b/>
              </w:rPr>
            </w:pPr>
          </w:p>
        </w:tc>
        <w:tc>
          <w:tcPr>
            <w:tcW w:w="8618" w:type="dxa"/>
            <w:tcBorders>
              <w:top w:val="single" w:sz="4" w:space="0" w:color="000000"/>
              <w:left w:val="single" w:sz="8" w:space="0" w:color="000000"/>
              <w:bottom w:val="single" w:sz="4" w:space="0" w:color="000000"/>
              <w:right w:val="nil"/>
            </w:tcBorders>
            <w:hideMark/>
          </w:tcPr>
          <w:p w14:paraId="6D6BA599" w14:textId="4DCC70DD" w:rsidR="0098374F" w:rsidRDefault="0098374F">
            <w:pPr>
              <w:rPr>
                <w:rFonts w:cs="Arial"/>
                <w:b/>
                <w:kern w:val="0"/>
                <w:sz w:val="20"/>
                <w:szCs w:val="20"/>
              </w:rPr>
            </w:pPr>
            <w:r>
              <w:rPr>
                <w:rFonts w:cs="Arial"/>
                <w:b/>
                <w:kern w:val="0"/>
                <w:sz w:val="20"/>
                <w:szCs w:val="20"/>
              </w:rPr>
              <w:br/>
            </w:r>
            <w:r w:rsidR="009D0360">
              <w:rPr>
                <w:rFonts w:cs="Arial"/>
                <w:b/>
                <w:sz w:val="24"/>
                <w:szCs w:val="24"/>
              </w:rPr>
              <w:t>Modul</w:t>
            </w:r>
            <w:r>
              <w:rPr>
                <w:rFonts w:cs="Arial"/>
                <w:b/>
                <w:sz w:val="24"/>
                <w:szCs w:val="24"/>
              </w:rPr>
              <w:t>beschreibung</w:t>
            </w:r>
            <w:r w:rsidR="009D0360">
              <w:rPr>
                <w:rFonts w:cs="Arial"/>
                <w:b/>
                <w:sz w:val="24"/>
                <w:szCs w:val="24"/>
              </w:rPr>
              <w:t xml:space="preserve"> </w:t>
            </w:r>
            <w:r>
              <w:rPr>
                <w:rFonts w:cs="Arial"/>
                <w:b/>
                <w:sz w:val="28"/>
                <w:szCs w:val="28"/>
              </w:rPr>
              <w:t>(</w:t>
            </w:r>
            <w:r>
              <w:rPr>
                <w:rFonts w:cs="Arial"/>
                <w:b/>
              </w:rPr>
              <w:t xml:space="preserve">Die Module finden in der Zeit von </w:t>
            </w:r>
            <w:r>
              <w:rPr>
                <w:rFonts w:cs="Arial"/>
                <w:b/>
                <w:sz w:val="28"/>
                <w:szCs w:val="28"/>
              </w:rPr>
              <w:t>10 – 15 Uhr</w:t>
            </w:r>
            <w:r>
              <w:rPr>
                <w:rFonts w:cs="Arial"/>
                <w:b/>
              </w:rPr>
              <w:t xml:space="preserve"> statt</w:t>
            </w:r>
            <w:r>
              <w:rPr>
                <w:rFonts w:cs="Arial"/>
                <w:b/>
                <w:sz w:val="24"/>
                <w:szCs w:val="24"/>
              </w:rPr>
              <w:t>)</w:t>
            </w:r>
          </w:p>
        </w:tc>
        <w:tc>
          <w:tcPr>
            <w:tcW w:w="850" w:type="dxa"/>
            <w:tcBorders>
              <w:top w:val="single" w:sz="4" w:space="0" w:color="000000"/>
              <w:left w:val="single" w:sz="8" w:space="0" w:color="000000"/>
              <w:bottom w:val="single" w:sz="4" w:space="0" w:color="000000"/>
              <w:right w:val="single" w:sz="8" w:space="0" w:color="000000"/>
            </w:tcBorders>
            <w:hideMark/>
          </w:tcPr>
          <w:p w14:paraId="55BCC8D4" w14:textId="2B4D1DB2" w:rsidR="0098374F" w:rsidRDefault="009D0360">
            <w:pPr>
              <w:snapToGrid w:val="0"/>
              <w:spacing w:after="0" w:line="240" w:lineRule="auto"/>
              <w:rPr>
                <w:rFonts w:cs="Arial"/>
                <w:b/>
              </w:rPr>
            </w:pPr>
            <w:r>
              <w:rPr>
                <w:rFonts w:cs="Arial"/>
                <w:b/>
              </w:rPr>
              <w:t>Wahl</w:t>
            </w:r>
          </w:p>
        </w:tc>
      </w:tr>
      <w:tr w:rsidR="0098374F" w:rsidRPr="00A13A08" w14:paraId="610B362C"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05FF6B79" w14:textId="3B761FED" w:rsidR="0098374F" w:rsidRPr="00A13A08" w:rsidRDefault="0098374F" w:rsidP="00D245A4">
            <w:pPr>
              <w:pStyle w:val="Listenabsatz"/>
              <w:numPr>
                <w:ilvl w:val="0"/>
                <w:numId w:val="4"/>
              </w:numPr>
              <w:spacing w:after="0" w:line="240" w:lineRule="auto"/>
              <w:ind w:right="113"/>
              <w:jc w:val="center"/>
              <w:rPr>
                <w:rFonts w:cs="Arial"/>
                <w:b/>
              </w:rPr>
            </w:pPr>
            <w:r w:rsidRPr="00A13A08">
              <w:rPr>
                <w:rFonts w:cs="Arial"/>
                <w:b/>
              </w:rPr>
              <w:t>Basiskompetenzen</w:t>
            </w:r>
          </w:p>
          <w:p w14:paraId="32CAA5E6" w14:textId="77777777" w:rsidR="0098374F" w:rsidRPr="00A13A08" w:rsidRDefault="0098374F">
            <w:pPr>
              <w:spacing w:after="0" w:line="240" w:lineRule="auto"/>
              <w:ind w:left="113" w:right="113"/>
              <w:jc w:val="center"/>
              <w:rPr>
                <w:rFonts w:cs="Arial"/>
              </w:rPr>
            </w:pPr>
            <w:r w:rsidRPr="00A13A08">
              <w:rPr>
                <w:rFonts w:cs="Arial"/>
                <w:b/>
              </w:rPr>
              <w:t>Mathematik</w:t>
            </w:r>
          </w:p>
        </w:tc>
        <w:tc>
          <w:tcPr>
            <w:tcW w:w="8618" w:type="dxa"/>
            <w:tcBorders>
              <w:top w:val="single" w:sz="4" w:space="0" w:color="000000"/>
              <w:left w:val="single" w:sz="8" w:space="0" w:color="000000"/>
              <w:bottom w:val="single" w:sz="4" w:space="0" w:color="000000"/>
              <w:right w:val="nil"/>
            </w:tcBorders>
            <w:hideMark/>
          </w:tcPr>
          <w:p w14:paraId="234B3116" w14:textId="77777777" w:rsidR="0098374F" w:rsidRPr="00A13A08" w:rsidRDefault="0098374F">
            <w:pPr>
              <w:spacing w:after="0" w:line="240" w:lineRule="auto"/>
              <w:rPr>
                <w:rFonts w:cs="Arial"/>
              </w:rPr>
            </w:pPr>
            <w:r w:rsidRPr="00A13A08">
              <w:rPr>
                <w:rFonts w:cs="Arial"/>
              </w:rPr>
              <w:t>Dieses Modul richtet sich vorwiegend an LiVd, die Mathematik nicht als Unterrichtfach studiert haben oder darin ausgebildet werden.</w:t>
            </w:r>
          </w:p>
          <w:p w14:paraId="16A6EC3E" w14:textId="77777777" w:rsidR="0098374F" w:rsidRPr="00A13A08" w:rsidRDefault="0098374F">
            <w:pPr>
              <w:spacing w:after="0" w:line="240" w:lineRule="auto"/>
              <w:rPr>
                <w:rFonts w:cs="Arial"/>
              </w:rPr>
            </w:pPr>
            <w:r w:rsidRPr="00A13A08">
              <w:rPr>
                <w:rFonts w:cs="Arial"/>
              </w:rPr>
              <w:t>Folgende inhaltliche Schwerpunkte werden angesprochen:</w:t>
            </w:r>
          </w:p>
          <w:p w14:paraId="1CC1B26F" w14:textId="77777777" w:rsidR="0098374F" w:rsidRPr="00A13A08" w:rsidRDefault="0098374F" w:rsidP="00505EDA">
            <w:pPr>
              <w:numPr>
                <w:ilvl w:val="0"/>
                <w:numId w:val="1"/>
              </w:numPr>
              <w:spacing w:after="0" w:line="240" w:lineRule="auto"/>
              <w:rPr>
                <w:rFonts w:cs="Arial"/>
              </w:rPr>
            </w:pPr>
            <w:r w:rsidRPr="00A13A08">
              <w:rPr>
                <w:rFonts w:cs="Arial"/>
              </w:rPr>
              <w:t>Vorläuferfähigkeiten mathematischen Lernens</w:t>
            </w:r>
          </w:p>
          <w:p w14:paraId="4DE710BC" w14:textId="77777777" w:rsidR="0098374F" w:rsidRPr="00A13A08" w:rsidRDefault="0098374F" w:rsidP="00505EDA">
            <w:pPr>
              <w:numPr>
                <w:ilvl w:val="0"/>
                <w:numId w:val="1"/>
              </w:numPr>
              <w:spacing w:after="0" w:line="240" w:lineRule="auto"/>
              <w:rPr>
                <w:rFonts w:cs="Arial"/>
              </w:rPr>
            </w:pPr>
            <w:r w:rsidRPr="00A13A08">
              <w:rPr>
                <w:rFonts w:cs="Arial"/>
              </w:rPr>
              <w:t>Pränumerische Kompetenzstufung und Zahlbegriffsentwicklung</w:t>
            </w:r>
          </w:p>
          <w:p w14:paraId="3479CFEB" w14:textId="77777777" w:rsidR="0098374F" w:rsidRPr="00A13A08" w:rsidRDefault="0098374F" w:rsidP="00505EDA">
            <w:pPr>
              <w:numPr>
                <w:ilvl w:val="0"/>
                <w:numId w:val="1"/>
              </w:numPr>
              <w:spacing w:after="0" w:line="240" w:lineRule="auto"/>
              <w:rPr>
                <w:rFonts w:cs="Arial"/>
              </w:rPr>
            </w:pPr>
            <w:r w:rsidRPr="00A13A08">
              <w:rPr>
                <w:rFonts w:cs="Arial"/>
              </w:rPr>
              <w:t>Erstrechnen</w:t>
            </w:r>
          </w:p>
          <w:p w14:paraId="402A391F" w14:textId="77777777" w:rsidR="0098374F" w:rsidRPr="00A13A08" w:rsidRDefault="0098374F" w:rsidP="00505EDA">
            <w:pPr>
              <w:numPr>
                <w:ilvl w:val="0"/>
                <w:numId w:val="1"/>
              </w:numPr>
              <w:spacing w:after="0" w:line="240" w:lineRule="auto"/>
              <w:rPr>
                <w:rFonts w:cs="Arial"/>
              </w:rPr>
            </w:pPr>
            <w:r w:rsidRPr="00A13A08">
              <w:rPr>
                <w:rFonts w:cs="Arial"/>
              </w:rPr>
              <w:t xml:space="preserve">Risikofaktoren des Kompetenzaufbaus </w:t>
            </w:r>
          </w:p>
          <w:p w14:paraId="2EDE306E" w14:textId="77777777" w:rsidR="0098374F" w:rsidRPr="00A13A08" w:rsidRDefault="0098374F" w:rsidP="00505EDA">
            <w:pPr>
              <w:numPr>
                <w:ilvl w:val="0"/>
                <w:numId w:val="1"/>
              </w:numPr>
              <w:spacing w:after="0" w:line="240" w:lineRule="auto"/>
              <w:rPr>
                <w:rFonts w:cs="Arial"/>
              </w:rPr>
            </w:pPr>
            <w:r w:rsidRPr="00A13A08">
              <w:rPr>
                <w:rFonts w:cs="Arial"/>
              </w:rPr>
              <w:t>Stolpersteine und Rechenschwierigkeiten / Rechenschwäche</w:t>
            </w:r>
          </w:p>
          <w:p w14:paraId="1CF4C175" w14:textId="77777777" w:rsidR="0098374F" w:rsidRPr="00A13A08" w:rsidRDefault="0098374F">
            <w:pPr>
              <w:spacing w:after="0" w:line="240" w:lineRule="auto"/>
              <w:rPr>
                <w:rFonts w:cs="Arial"/>
              </w:rPr>
            </w:pPr>
            <w:r w:rsidRPr="00A13A08">
              <w:rPr>
                <w:rFonts w:cs="Arial"/>
              </w:rPr>
              <w:t>Umgang mit Schülerinnen und Schülern in inklusiven Arbeitsfeldern, die im Bereich des mathematischen Kompetenzaufbaus auffallen - Diagnostische Aspekte und Förderung.</w:t>
            </w:r>
          </w:p>
        </w:tc>
        <w:tc>
          <w:tcPr>
            <w:tcW w:w="850" w:type="dxa"/>
            <w:tcBorders>
              <w:top w:val="single" w:sz="4" w:space="0" w:color="000000"/>
              <w:left w:val="single" w:sz="8" w:space="0" w:color="000000"/>
              <w:bottom w:val="single" w:sz="4" w:space="0" w:color="000000"/>
              <w:right w:val="single" w:sz="8" w:space="0" w:color="000000"/>
            </w:tcBorders>
          </w:tcPr>
          <w:p w14:paraId="74AE62A4" w14:textId="77777777" w:rsidR="0098374F" w:rsidRPr="00A13A08" w:rsidRDefault="0098374F">
            <w:pPr>
              <w:snapToGrid w:val="0"/>
              <w:spacing w:after="0" w:line="240" w:lineRule="auto"/>
              <w:rPr>
                <w:rFonts w:cs="Arial"/>
                <w:b/>
              </w:rPr>
            </w:pPr>
          </w:p>
        </w:tc>
      </w:tr>
      <w:tr w:rsidR="0098374F" w:rsidRPr="00A13A08" w14:paraId="51E0CA60"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062A14EC" w14:textId="51E9308E" w:rsidR="0098374F" w:rsidRPr="00E72D80" w:rsidRDefault="00E72D80" w:rsidP="00E72D80">
            <w:pPr>
              <w:spacing w:after="0" w:line="240" w:lineRule="auto"/>
              <w:ind w:left="113" w:right="113"/>
              <w:rPr>
                <w:rFonts w:cs="Arial"/>
                <w:b/>
              </w:rPr>
            </w:pPr>
            <w:r>
              <w:rPr>
                <w:rFonts w:cs="Arial"/>
                <w:b/>
              </w:rPr>
              <w:t>2.</w:t>
            </w:r>
            <w:r w:rsidR="0098374F" w:rsidRPr="00E72D80">
              <w:rPr>
                <w:rFonts w:cs="Arial"/>
                <w:b/>
              </w:rPr>
              <w:t>Basiskompe</w:t>
            </w:r>
            <w:r>
              <w:rPr>
                <w:rFonts w:cs="Arial"/>
                <w:b/>
              </w:rPr>
              <w:t>-</w:t>
            </w:r>
            <w:r w:rsidR="0098374F" w:rsidRPr="00E72D80">
              <w:rPr>
                <w:rFonts w:cs="Arial"/>
                <w:b/>
              </w:rPr>
              <w:t>tenzen</w:t>
            </w:r>
          </w:p>
          <w:p w14:paraId="17715A88" w14:textId="79F89D69" w:rsidR="0098374F" w:rsidRPr="00A13A08" w:rsidRDefault="0098374F" w:rsidP="00E72D80">
            <w:pPr>
              <w:spacing w:after="0" w:line="240" w:lineRule="auto"/>
              <w:ind w:left="113" w:right="113"/>
              <w:rPr>
                <w:rFonts w:cs="Arial"/>
                <w:b/>
              </w:rPr>
            </w:pPr>
            <w:r w:rsidRPr="00A13A08">
              <w:rPr>
                <w:rFonts w:cs="Arial"/>
                <w:b/>
              </w:rPr>
              <w:t>Deutsch Erstlesen/</w:t>
            </w:r>
            <w:r w:rsidR="00E72D80">
              <w:rPr>
                <w:rFonts w:cs="Arial"/>
                <w:b/>
              </w:rPr>
              <w:br/>
            </w:r>
            <w:r w:rsidRPr="00A13A08">
              <w:rPr>
                <w:rFonts w:cs="Arial"/>
                <w:b/>
              </w:rPr>
              <w:t>Erstschreiben</w:t>
            </w:r>
            <w:r w:rsidRPr="00A13A08">
              <w:rPr>
                <w:rFonts w:cs="Arial"/>
                <w:b/>
              </w:rPr>
              <w:br/>
            </w:r>
          </w:p>
        </w:tc>
        <w:tc>
          <w:tcPr>
            <w:tcW w:w="8618" w:type="dxa"/>
            <w:tcBorders>
              <w:top w:val="single" w:sz="4" w:space="0" w:color="000000"/>
              <w:left w:val="single" w:sz="8" w:space="0" w:color="000000"/>
              <w:bottom w:val="single" w:sz="4" w:space="0" w:color="000000"/>
              <w:right w:val="nil"/>
            </w:tcBorders>
            <w:hideMark/>
          </w:tcPr>
          <w:p w14:paraId="72AAE11B" w14:textId="77777777" w:rsidR="0098374F" w:rsidRPr="00A13A08" w:rsidRDefault="0098374F">
            <w:pPr>
              <w:spacing w:after="0" w:line="240" w:lineRule="auto"/>
              <w:rPr>
                <w:rFonts w:cs="Arial"/>
              </w:rPr>
            </w:pPr>
            <w:r w:rsidRPr="00A13A08">
              <w:rPr>
                <w:rFonts w:cs="Arial"/>
              </w:rPr>
              <w:t>Kennenlernen von Basiskompetenzen und Entwicklungskonzepten des Schriftspracherwerbs.</w:t>
            </w:r>
            <w:r w:rsidRPr="00A13A08">
              <w:rPr>
                <w:rFonts w:cs="Arial"/>
              </w:rPr>
              <w:br/>
              <w:t xml:space="preserve">Inhalte: </w:t>
            </w:r>
          </w:p>
          <w:p w14:paraId="208AB083" w14:textId="77777777" w:rsidR="0098374F" w:rsidRPr="00A13A08" w:rsidRDefault="0098374F" w:rsidP="00505EDA">
            <w:pPr>
              <w:pStyle w:val="Listenabsatz"/>
              <w:numPr>
                <w:ilvl w:val="0"/>
                <w:numId w:val="2"/>
              </w:numPr>
              <w:spacing w:after="0" w:line="240" w:lineRule="auto"/>
              <w:rPr>
                <w:rFonts w:cs="Arial"/>
              </w:rPr>
            </w:pPr>
            <w:r w:rsidRPr="00A13A08">
              <w:rPr>
                <w:rFonts w:cs="Arial"/>
              </w:rPr>
              <w:t>Lernvoraussetzungen für den Erstlese- und Schreibprozess</w:t>
            </w:r>
          </w:p>
          <w:p w14:paraId="03A2540E" w14:textId="77777777" w:rsidR="0098374F" w:rsidRPr="00A13A08" w:rsidRDefault="0098374F" w:rsidP="00505EDA">
            <w:pPr>
              <w:pStyle w:val="Listenabsatz"/>
              <w:numPr>
                <w:ilvl w:val="0"/>
                <w:numId w:val="2"/>
              </w:numPr>
              <w:spacing w:after="0" w:line="240" w:lineRule="auto"/>
              <w:rPr>
                <w:rFonts w:cs="Arial"/>
              </w:rPr>
            </w:pPr>
            <w:r w:rsidRPr="00A13A08">
              <w:rPr>
                <w:rFonts w:cs="Arial"/>
              </w:rPr>
              <w:t>Differenzierte Lernwege und mögliche Übungsformen</w:t>
            </w:r>
          </w:p>
          <w:p w14:paraId="057F54FD" w14:textId="77777777" w:rsidR="0098374F" w:rsidRPr="00A13A08" w:rsidRDefault="0098374F" w:rsidP="00505EDA">
            <w:pPr>
              <w:pStyle w:val="Listenabsatz"/>
              <w:numPr>
                <w:ilvl w:val="0"/>
                <w:numId w:val="2"/>
              </w:numPr>
              <w:spacing w:after="0" w:line="240" w:lineRule="auto"/>
              <w:rPr>
                <w:rFonts w:cs="Arial"/>
              </w:rPr>
            </w:pPr>
            <w:r w:rsidRPr="00A13A08">
              <w:rPr>
                <w:rFonts w:cs="Arial"/>
              </w:rPr>
              <w:t>Kennenlernen eines multisensoriellen Stationsverfahrens</w:t>
            </w:r>
          </w:p>
          <w:p w14:paraId="00EC0E5C" w14:textId="77599467" w:rsidR="0098374F" w:rsidRPr="00A13A08" w:rsidRDefault="0098374F" w:rsidP="00505EDA">
            <w:pPr>
              <w:pStyle w:val="Listenabsatz"/>
              <w:numPr>
                <w:ilvl w:val="0"/>
                <w:numId w:val="2"/>
              </w:numPr>
              <w:spacing w:after="0" w:line="240" w:lineRule="auto"/>
              <w:rPr>
                <w:rFonts w:cs="Arial"/>
              </w:rPr>
            </w:pPr>
            <w:r w:rsidRPr="00A13A08">
              <w:rPr>
                <w:rFonts w:cs="Arial"/>
              </w:rPr>
              <w:t>Ggf. Fibelvergleich</w:t>
            </w:r>
          </w:p>
        </w:tc>
        <w:tc>
          <w:tcPr>
            <w:tcW w:w="850" w:type="dxa"/>
            <w:tcBorders>
              <w:top w:val="single" w:sz="4" w:space="0" w:color="000000"/>
              <w:left w:val="single" w:sz="8" w:space="0" w:color="000000"/>
              <w:bottom w:val="single" w:sz="4" w:space="0" w:color="000000"/>
              <w:right w:val="single" w:sz="8" w:space="0" w:color="000000"/>
            </w:tcBorders>
          </w:tcPr>
          <w:p w14:paraId="7AEF857B" w14:textId="77777777" w:rsidR="0098374F" w:rsidRPr="00A13A08" w:rsidRDefault="0098374F">
            <w:pPr>
              <w:snapToGrid w:val="0"/>
              <w:spacing w:after="0" w:line="240" w:lineRule="auto"/>
              <w:rPr>
                <w:rFonts w:cs="Arial"/>
                <w:b/>
              </w:rPr>
            </w:pPr>
          </w:p>
        </w:tc>
      </w:tr>
      <w:tr w:rsidR="0098374F" w:rsidRPr="00A13A08" w14:paraId="0D223056"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37C0B2A5" w14:textId="32EFACFC" w:rsidR="0098374F" w:rsidRPr="00E72D80" w:rsidRDefault="00E72D80" w:rsidP="00E72D80">
            <w:pPr>
              <w:spacing w:after="0" w:line="240" w:lineRule="auto"/>
              <w:ind w:left="113" w:right="113"/>
              <w:rPr>
                <w:rFonts w:cs="Arial"/>
                <w:b/>
              </w:rPr>
            </w:pPr>
            <w:r>
              <w:rPr>
                <w:rFonts w:cs="Arial"/>
                <w:b/>
              </w:rPr>
              <w:t>3.</w:t>
            </w:r>
            <w:r w:rsidR="0098374F" w:rsidRPr="00E72D80">
              <w:rPr>
                <w:rFonts w:cs="Arial"/>
                <w:b/>
              </w:rPr>
              <w:t>Basiskompe</w:t>
            </w:r>
            <w:r w:rsidRPr="00E72D80">
              <w:rPr>
                <w:rFonts w:cs="Arial"/>
                <w:b/>
              </w:rPr>
              <w:t>-</w:t>
            </w:r>
            <w:r w:rsidR="0098374F" w:rsidRPr="00E72D80">
              <w:rPr>
                <w:rFonts w:cs="Arial"/>
                <w:b/>
              </w:rPr>
              <w:t>tenzen</w:t>
            </w:r>
            <w:r w:rsidR="0098374F" w:rsidRPr="00E72D80">
              <w:rPr>
                <w:rFonts w:cs="Arial"/>
                <w:b/>
              </w:rPr>
              <w:br/>
              <w:t>Wahrnehmung und Motorik</w:t>
            </w:r>
          </w:p>
        </w:tc>
        <w:tc>
          <w:tcPr>
            <w:tcW w:w="8618" w:type="dxa"/>
            <w:tcBorders>
              <w:top w:val="single" w:sz="4" w:space="0" w:color="000000"/>
              <w:left w:val="single" w:sz="8" w:space="0" w:color="000000"/>
              <w:bottom w:val="single" w:sz="4" w:space="0" w:color="000000"/>
              <w:right w:val="nil"/>
            </w:tcBorders>
            <w:hideMark/>
          </w:tcPr>
          <w:p w14:paraId="769241C0" w14:textId="77777777" w:rsidR="0098374F" w:rsidRPr="00A13A08" w:rsidRDefault="0098374F">
            <w:pPr>
              <w:spacing w:after="0" w:line="240" w:lineRule="auto"/>
              <w:rPr>
                <w:rFonts w:cs="Arial"/>
              </w:rPr>
            </w:pPr>
            <w:r w:rsidRPr="00A13A08">
              <w:rPr>
                <w:rFonts w:cs="Arial"/>
                <w:b/>
                <w:bCs/>
              </w:rPr>
              <w:t>Ziel</w:t>
            </w:r>
            <w:r w:rsidRPr="00A13A08">
              <w:rPr>
                <w:rFonts w:cs="Arial"/>
              </w:rPr>
              <w:t>: Sensibilisierung für Wahrnehmungsprobleme</w:t>
            </w:r>
          </w:p>
          <w:p w14:paraId="63F14C79" w14:textId="77777777" w:rsidR="0098374F" w:rsidRPr="00A13A08" w:rsidRDefault="0098374F" w:rsidP="00505EDA">
            <w:pPr>
              <w:pStyle w:val="Listenabsatz"/>
              <w:numPr>
                <w:ilvl w:val="0"/>
                <w:numId w:val="3"/>
              </w:numPr>
              <w:spacing w:after="0" w:line="240" w:lineRule="auto"/>
              <w:rPr>
                <w:rFonts w:cs="Arial"/>
              </w:rPr>
            </w:pPr>
            <w:r w:rsidRPr="00A13A08">
              <w:rPr>
                <w:rFonts w:cs="Arial"/>
              </w:rPr>
              <w:t>Selbsterfahrung von „Wahrnehmungsproblemen“</w:t>
            </w:r>
          </w:p>
          <w:p w14:paraId="3B0FA330" w14:textId="77777777" w:rsidR="0098374F" w:rsidRPr="00A13A08" w:rsidRDefault="0098374F" w:rsidP="00505EDA">
            <w:pPr>
              <w:pStyle w:val="Listenabsatz"/>
              <w:numPr>
                <w:ilvl w:val="0"/>
                <w:numId w:val="3"/>
              </w:numPr>
              <w:spacing w:after="0" w:line="240" w:lineRule="auto"/>
              <w:rPr>
                <w:rFonts w:cs="Arial"/>
              </w:rPr>
            </w:pPr>
            <w:r w:rsidRPr="00A13A08">
              <w:rPr>
                <w:rFonts w:cs="Arial"/>
              </w:rPr>
              <w:t xml:space="preserve">Theoretischer Hintergrund zu den Wahrnehmungsbereichen bzw. zur </w:t>
            </w:r>
            <w:r w:rsidRPr="00A13A08">
              <w:rPr>
                <w:rFonts w:cs="Arial"/>
              </w:rPr>
              <w:br/>
              <w:t>Wahrnehmungsförderung</w:t>
            </w:r>
          </w:p>
          <w:p w14:paraId="61F42B1F" w14:textId="77777777" w:rsidR="0098374F" w:rsidRPr="00A13A08" w:rsidRDefault="0098374F" w:rsidP="00505EDA">
            <w:pPr>
              <w:pStyle w:val="Listenabsatz"/>
              <w:numPr>
                <w:ilvl w:val="0"/>
                <w:numId w:val="3"/>
              </w:numPr>
              <w:spacing w:after="0" w:line="240" w:lineRule="auto"/>
              <w:rPr>
                <w:rFonts w:cs="Arial"/>
              </w:rPr>
            </w:pPr>
            <w:r w:rsidRPr="00A13A08">
              <w:rPr>
                <w:rFonts w:cs="Arial"/>
              </w:rPr>
              <w:t>Zusammenhang zwischen Wahrnehmungsproblemen und schulischem Lernen</w:t>
            </w:r>
          </w:p>
          <w:p w14:paraId="6F27376D" w14:textId="202B0F9E" w:rsidR="0098374F" w:rsidRPr="00A13A08" w:rsidRDefault="0098374F" w:rsidP="00505EDA">
            <w:pPr>
              <w:pStyle w:val="Listenabsatz"/>
              <w:numPr>
                <w:ilvl w:val="0"/>
                <w:numId w:val="3"/>
              </w:numPr>
              <w:spacing w:after="0" w:line="240" w:lineRule="auto"/>
              <w:rPr>
                <w:rFonts w:cs="Arial"/>
              </w:rPr>
            </w:pPr>
            <w:r w:rsidRPr="00A13A08">
              <w:rPr>
                <w:rFonts w:cs="Arial"/>
              </w:rPr>
              <w:t>Praktische Übungen zur Wahrnehmungsförderung</w:t>
            </w:r>
          </w:p>
        </w:tc>
        <w:tc>
          <w:tcPr>
            <w:tcW w:w="850" w:type="dxa"/>
            <w:tcBorders>
              <w:top w:val="single" w:sz="4" w:space="0" w:color="000000"/>
              <w:left w:val="single" w:sz="8" w:space="0" w:color="000000"/>
              <w:bottom w:val="single" w:sz="4" w:space="0" w:color="000000"/>
              <w:right w:val="single" w:sz="8" w:space="0" w:color="000000"/>
            </w:tcBorders>
          </w:tcPr>
          <w:p w14:paraId="4E863168" w14:textId="77777777" w:rsidR="0098374F" w:rsidRPr="00A13A08" w:rsidRDefault="0098374F">
            <w:pPr>
              <w:snapToGrid w:val="0"/>
              <w:spacing w:after="0" w:line="240" w:lineRule="auto"/>
              <w:rPr>
                <w:rFonts w:cs="Arial"/>
                <w:b/>
              </w:rPr>
            </w:pPr>
          </w:p>
        </w:tc>
      </w:tr>
      <w:tr w:rsidR="0098374F" w:rsidRPr="00A13A08" w14:paraId="4A686570"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73A506A4" w14:textId="501F7389" w:rsidR="0098374F" w:rsidRPr="00E72D80" w:rsidRDefault="0098374F" w:rsidP="00E72D80">
            <w:pPr>
              <w:pStyle w:val="Listenabsatz"/>
              <w:numPr>
                <w:ilvl w:val="0"/>
                <w:numId w:val="5"/>
              </w:numPr>
              <w:spacing w:after="0" w:line="240" w:lineRule="auto"/>
              <w:ind w:right="113"/>
              <w:rPr>
                <w:rFonts w:cs="Arial"/>
              </w:rPr>
            </w:pPr>
            <w:r w:rsidRPr="00E72D80">
              <w:rPr>
                <w:rFonts w:cs="Arial"/>
                <w:b/>
              </w:rPr>
              <w:t>Beratung</w:t>
            </w:r>
            <w:r w:rsidR="00E72D80" w:rsidRPr="00E72D80">
              <w:rPr>
                <w:rFonts w:cs="Arial"/>
                <w:b/>
              </w:rPr>
              <w:br/>
            </w:r>
            <w:r w:rsidRPr="00E72D80">
              <w:rPr>
                <w:rFonts w:eastAsia="Times New Roman" w:cs="Arial"/>
                <w:b/>
              </w:rPr>
              <w:t xml:space="preserve"> und Kommunikation</w:t>
            </w:r>
          </w:p>
        </w:tc>
        <w:tc>
          <w:tcPr>
            <w:tcW w:w="8618" w:type="dxa"/>
            <w:tcBorders>
              <w:top w:val="single" w:sz="4" w:space="0" w:color="000000"/>
              <w:left w:val="single" w:sz="8" w:space="0" w:color="000000"/>
              <w:bottom w:val="single" w:sz="4" w:space="0" w:color="000000"/>
              <w:right w:val="nil"/>
            </w:tcBorders>
            <w:hideMark/>
          </w:tcPr>
          <w:p w14:paraId="1CFCB2A6" w14:textId="77777777" w:rsidR="0098374F" w:rsidRPr="00A13A08" w:rsidRDefault="0098374F">
            <w:pPr>
              <w:spacing w:after="0" w:line="240" w:lineRule="auto"/>
              <w:rPr>
                <w:rFonts w:cs="Arial"/>
              </w:rPr>
            </w:pPr>
            <w:r w:rsidRPr="00A13A08">
              <w:rPr>
                <w:rFonts w:cs="Arial"/>
              </w:rPr>
              <w:t xml:space="preserve">Neben kurzen theoretischen Inputs zu Grundlagen und Methoden der Beratung ermöglicht die Veranstaltung, ausgewählte Techniken wie Aktives Zuhören, Offenes und Systemisches Fragen in Beratungssequenzen zu üben. Ziel des Moduls ist die Reflexion ausgewählter Grundlagen und Instrumente der Beratung sowie deren exemplarische Anwendung anhand von eigenen Fällen aus der Praxis. </w:t>
            </w:r>
          </w:p>
          <w:p w14:paraId="255E4187" w14:textId="72397292" w:rsidR="0098374F" w:rsidRPr="00A13A08" w:rsidRDefault="0098374F">
            <w:pPr>
              <w:spacing w:after="0" w:line="240" w:lineRule="auto"/>
              <w:rPr>
                <w:rFonts w:cs="Arial"/>
              </w:rPr>
            </w:pPr>
            <w:r w:rsidRPr="00A13A08">
              <w:rPr>
                <w:rFonts w:cs="Arial"/>
              </w:rPr>
              <w:t>Da Sie „Beratung“ üben werden, bringen Sie bitte problematische Situationen bzw. Beratungsbedarf aus ihrem beruflichen Erfahrungsfeld mit, die/der zu beraten wäre/n!</w:t>
            </w:r>
            <w:r w:rsidR="00E72D80">
              <w:rPr>
                <w:rFonts w:cs="Arial"/>
              </w:rPr>
              <w:br/>
            </w:r>
            <w:r w:rsidR="00A13A08">
              <w:rPr>
                <w:rFonts w:cs="Arial"/>
              </w:rPr>
              <w:br/>
            </w:r>
          </w:p>
        </w:tc>
        <w:tc>
          <w:tcPr>
            <w:tcW w:w="850" w:type="dxa"/>
            <w:tcBorders>
              <w:top w:val="single" w:sz="4" w:space="0" w:color="000000"/>
              <w:left w:val="single" w:sz="8" w:space="0" w:color="000000"/>
              <w:bottom w:val="single" w:sz="4" w:space="0" w:color="000000"/>
              <w:right w:val="single" w:sz="8" w:space="0" w:color="000000"/>
            </w:tcBorders>
          </w:tcPr>
          <w:p w14:paraId="2C04ACDD" w14:textId="77777777" w:rsidR="0098374F" w:rsidRPr="00A13A08" w:rsidRDefault="0098374F">
            <w:pPr>
              <w:snapToGrid w:val="0"/>
              <w:spacing w:after="0" w:line="240" w:lineRule="auto"/>
              <w:rPr>
                <w:rFonts w:cs="Arial"/>
                <w:b/>
              </w:rPr>
            </w:pPr>
          </w:p>
        </w:tc>
      </w:tr>
      <w:tr w:rsidR="0098374F" w:rsidRPr="00A13A08" w14:paraId="672F187F"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22085AA6" w14:textId="4394D78A" w:rsidR="0098374F" w:rsidRPr="00A13A08" w:rsidRDefault="0098374F" w:rsidP="00E72D80">
            <w:pPr>
              <w:pStyle w:val="Listenabsatz"/>
              <w:numPr>
                <w:ilvl w:val="0"/>
                <w:numId w:val="5"/>
              </w:numPr>
              <w:spacing w:after="0" w:line="240" w:lineRule="auto"/>
              <w:ind w:right="113"/>
              <w:rPr>
                <w:rFonts w:cs="Arial"/>
                <w:b/>
              </w:rPr>
            </w:pPr>
            <w:r w:rsidRPr="00A13A08">
              <w:rPr>
                <w:rFonts w:cs="Arial"/>
                <w:b/>
              </w:rPr>
              <w:lastRenderedPageBreak/>
              <w:t>Digitale</w:t>
            </w:r>
            <w:r w:rsidRPr="00A13A08">
              <w:rPr>
                <w:rFonts w:cs="Arial"/>
                <w:b/>
              </w:rPr>
              <w:br/>
              <w:t>Medien im Unterricht</w:t>
            </w:r>
          </w:p>
        </w:tc>
        <w:tc>
          <w:tcPr>
            <w:tcW w:w="8618" w:type="dxa"/>
            <w:tcBorders>
              <w:top w:val="single" w:sz="4" w:space="0" w:color="000000"/>
              <w:left w:val="single" w:sz="8" w:space="0" w:color="000000"/>
              <w:bottom w:val="single" w:sz="4" w:space="0" w:color="000000"/>
              <w:right w:val="nil"/>
            </w:tcBorders>
            <w:hideMark/>
          </w:tcPr>
          <w:p w14:paraId="358A476E" w14:textId="3DF4C83B" w:rsidR="0098374F" w:rsidRPr="00A13A08" w:rsidRDefault="0098374F">
            <w:pPr>
              <w:spacing w:after="0" w:line="240" w:lineRule="auto"/>
              <w:rPr>
                <w:rFonts w:cs="Arial"/>
              </w:rPr>
            </w:pPr>
            <w:r w:rsidRPr="00A13A08">
              <w:rPr>
                <w:rFonts w:cs="Arial"/>
              </w:rPr>
              <w:t>In diesem Modul beschäftigen Sie sich mit Möglichkeiten der Nutzung des Tablets z.B. zur Förderung des Hörverstehens, Aufgabenverständnisses und der Sprachproduktion im Unterricht.  Die kreative Herstellung eigener Hörbeiträge oder eines Erklärvideos stehen dabei im Vordergrund. So können das gesprochene Wort oder Bilder (z. B. Erklärbotschaften, Arbeitsaufträge, Handlungsschritte etc.) über das Internet ausgetauscht werden.</w:t>
            </w:r>
            <w:r w:rsidRPr="00A13A08">
              <w:rPr>
                <w:rFonts w:cs="Arial"/>
              </w:rPr>
              <w:br/>
              <w:t xml:space="preserve">  </w:t>
            </w:r>
          </w:p>
        </w:tc>
        <w:tc>
          <w:tcPr>
            <w:tcW w:w="850" w:type="dxa"/>
            <w:tcBorders>
              <w:top w:val="single" w:sz="4" w:space="0" w:color="000000"/>
              <w:left w:val="single" w:sz="8" w:space="0" w:color="000000"/>
              <w:bottom w:val="single" w:sz="4" w:space="0" w:color="000000"/>
              <w:right w:val="single" w:sz="8" w:space="0" w:color="000000"/>
            </w:tcBorders>
          </w:tcPr>
          <w:p w14:paraId="14E3187C" w14:textId="77777777" w:rsidR="0098374F" w:rsidRPr="00A13A08" w:rsidRDefault="0098374F">
            <w:pPr>
              <w:snapToGrid w:val="0"/>
              <w:spacing w:after="0" w:line="240" w:lineRule="auto"/>
              <w:rPr>
                <w:rFonts w:cs="Arial"/>
                <w:b/>
              </w:rPr>
            </w:pPr>
          </w:p>
        </w:tc>
      </w:tr>
      <w:tr w:rsidR="0098374F" w:rsidRPr="00A13A08" w14:paraId="73B6DC2C"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14CBBCF8" w14:textId="41349892" w:rsidR="0098374F" w:rsidRPr="00E72D80" w:rsidRDefault="0098374F" w:rsidP="00E72D80">
            <w:pPr>
              <w:pStyle w:val="Listenabsatz"/>
              <w:numPr>
                <w:ilvl w:val="0"/>
                <w:numId w:val="5"/>
              </w:numPr>
              <w:spacing w:after="0" w:line="240" w:lineRule="auto"/>
              <w:ind w:right="113"/>
              <w:rPr>
                <w:rFonts w:cs="Arial"/>
                <w:b/>
              </w:rPr>
            </w:pPr>
            <w:r w:rsidRPr="00E72D80">
              <w:rPr>
                <w:rFonts w:cs="Arial"/>
                <w:b/>
              </w:rPr>
              <w:t>ILE</w:t>
            </w:r>
            <w:r w:rsidR="00E72D80" w:rsidRPr="00E72D80">
              <w:rPr>
                <w:rFonts w:cs="Arial"/>
                <w:b/>
              </w:rPr>
              <w:t xml:space="preserve"> &amp; </w:t>
            </w:r>
            <w:r w:rsidRPr="00E72D80">
              <w:rPr>
                <w:rFonts w:cs="Arial"/>
                <w:b/>
              </w:rPr>
              <w:t>Förder</w:t>
            </w:r>
            <w:r w:rsidR="00E72D80">
              <w:rPr>
                <w:rFonts w:cs="Arial"/>
                <w:b/>
              </w:rPr>
              <w:t>-</w:t>
            </w:r>
            <w:r w:rsidRPr="00E72D80">
              <w:rPr>
                <w:rFonts w:cs="Arial"/>
                <w:b/>
              </w:rPr>
              <w:t>planung im multiprofessionellen Team</w:t>
            </w:r>
          </w:p>
        </w:tc>
        <w:tc>
          <w:tcPr>
            <w:tcW w:w="8618" w:type="dxa"/>
            <w:tcBorders>
              <w:top w:val="single" w:sz="4" w:space="0" w:color="000000"/>
              <w:left w:val="single" w:sz="8" w:space="0" w:color="000000"/>
              <w:bottom w:val="single" w:sz="4" w:space="0" w:color="000000"/>
              <w:right w:val="nil"/>
            </w:tcBorders>
            <w:hideMark/>
          </w:tcPr>
          <w:p w14:paraId="671D4118" w14:textId="0A7E8F59" w:rsidR="0098374F" w:rsidRPr="00A13A08" w:rsidRDefault="0098374F">
            <w:pPr>
              <w:suppressAutoHyphens w:val="0"/>
              <w:spacing w:after="0" w:line="240" w:lineRule="auto"/>
              <w:rPr>
                <w:rFonts w:asciiTheme="minorHAnsi" w:eastAsia="Times New Roman" w:hAnsiTheme="minorHAnsi" w:cs="Times New Roman"/>
                <w:kern w:val="0"/>
                <w:lang w:eastAsia="de-DE"/>
              </w:rPr>
            </w:pPr>
            <w:r w:rsidRPr="00A13A08">
              <w:rPr>
                <w:rFonts w:asciiTheme="minorHAnsi" w:eastAsia="Times New Roman" w:hAnsiTheme="minorHAnsi" w:cs="Times New Roman"/>
                <w:kern w:val="0"/>
                <w:lang w:eastAsia="de-DE"/>
              </w:rPr>
              <w:t>In diesem Modul erhalten Sie zunächst grundlegende Informationen zu rechtlichen Vorgaben und zu der Methode KEFF anhand einer beispielhaften Durchführung der Stationen der Förderplanung. Anschließend tauschen Sie sich in Kleingruppen im multiprofessionellen Team (gemeinsam mit den LiVd des GHR-Seminars) auf Grundlage Ihrer (diagnostischen) Erkenntnisse und Beobachtungen über mögliche Entwicklungsziele aus, legen Fördermaßnahmen fest und skizzieren somit einen eigenen Förderplan für eine Schülerin/einen Schüler.</w:t>
            </w:r>
            <w:r w:rsidR="00E72D80">
              <w:rPr>
                <w:rFonts w:asciiTheme="minorHAnsi" w:eastAsia="Times New Roman" w:hAnsiTheme="minorHAnsi" w:cs="Times New Roman"/>
                <w:kern w:val="0"/>
                <w:lang w:eastAsia="de-DE"/>
              </w:rPr>
              <w:br/>
            </w:r>
            <w:r w:rsidR="00E72D80">
              <w:rPr>
                <w:rFonts w:asciiTheme="minorHAnsi" w:eastAsia="Times New Roman" w:hAnsiTheme="minorHAnsi" w:cs="Times New Roman"/>
                <w:kern w:val="0"/>
                <w:lang w:eastAsia="de-DE"/>
              </w:rPr>
              <w:br/>
            </w:r>
            <w:r w:rsidR="00E72D80">
              <w:rPr>
                <w:rFonts w:asciiTheme="minorHAnsi" w:eastAsia="Times New Roman" w:hAnsiTheme="minorHAnsi" w:cs="Times New Roman"/>
                <w:kern w:val="0"/>
                <w:lang w:eastAsia="de-DE"/>
              </w:rPr>
              <w:br/>
            </w:r>
            <w:r w:rsidRPr="00A13A08">
              <w:rPr>
                <w:rFonts w:asciiTheme="minorHAnsi" w:eastAsia="Times New Roman" w:hAnsiTheme="minorHAnsi" w:cs="Times New Roman"/>
                <w:kern w:val="0"/>
                <w:lang w:eastAsia="de-DE"/>
              </w:rPr>
              <w:br/>
            </w:r>
          </w:p>
        </w:tc>
        <w:tc>
          <w:tcPr>
            <w:tcW w:w="850" w:type="dxa"/>
            <w:tcBorders>
              <w:top w:val="single" w:sz="4" w:space="0" w:color="000000"/>
              <w:left w:val="single" w:sz="8" w:space="0" w:color="000000"/>
              <w:bottom w:val="single" w:sz="4" w:space="0" w:color="000000"/>
              <w:right w:val="single" w:sz="8" w:space="0" w:color="000000"/>
            </w:tcBorders>
          </w:tcPr>
          <w:p w14:paraId="68572F1A" w14:textId="77777777" w:rsidR="0098374F" w:rsidRPr="00A13A08" w:rsidRDefault="0098374F">
            <w:pPr>
              <w:snapToGrid w:val="0"/>
              <w:spacing w:after="0" w:line="240" w:lineRule="auto"/>
              <w:rPr>
                <w:rFonts w:cs="Arial"/>
                <w:b/>
              </w:rPr>
            </w:pPr>
          </w:p>
        </w:tc>
      </w:tr>
      <w:tr w:rsidR="0098374F" w:rsidRPr="00A13A08" w14:paraId="344D3BC9"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49297B1F" w14:textId="4D65D5E9" w:rsidR="0098374F" w:rsidRPr="00E72D80" w:rsidRDefault="00E72D80" w:rsidP="00E72D80">
            <w:pPr>
              <w:spacing w:after="0" w:line="240" w:lineRule="auto"/>
              <w:ind w:left="113" w:right="113"/>
              <w:rPr>
                <w:rFonts w:cs="Arial"/>
                <w:b/>
              </w:rPr>
            </w:pPr>
            <w:r>
              <w:rPr>
                <w:rFonts w:cs="Arial"/>
                <w:b/>
              </w:rPr>
              <w:t>7.</w:t>
            </w:r>
            <w:r w:rsidR="0098374F" w:rsidRPr="00E72D80">
              <w:rPr>
                <w:rFonts w:cs="Arial"/>
                <w:b/>
              </w:rPr>
              <w:t>Einführung in die Testdiagnos</w:t>
            </w:r>
            <w:r>
              <w:rPr>
                <w:rFonts w:cs="Arial"/>
                <w:b/>
              </w:rPr>
              <w:t>t</w:t>
            </w:r>
            <w:r w:rsidR="0098374F" w:rsidRPr="00E72D80">
              <w:rPr>
                <w:rFonts w:cs="Arial"/>
                <w:b/>
              </w:rPr>
              <w:t>ik</w:t>
            </w:r>
            <w:r>
              <w:rPr>
                <w:rFonts w:cs="Arial"/>
                <w:b/>
              </w:rPr>
              <w:t xml:space="preserve"> am </w:t>
            </w:r>
            <w:r w:rsidR="0098374F" w:rsidRPr="00E72D80">
              <w:rPr>
                <w:rFonts w:cs="Arial"/>
                <w:b/>
              </w:rPr>
              <w:t>Beispiel von Intelligenztests</w:t>
            </w:r>
          </w:p>
        </w:tc>
        <w:tc>
          <w:tcPr>
            <w:tcW w:w="8618" w:type="dxa"/>
            <w:tcBorders>
              <w:top w:val="single" w:sz="4" w:space="0" w:color="000000"/>
              <w:left w:val="single" w:sz="8" w:space="0" w:color="000000"/>
              <w:bottom w:val="single" w:sz="4" w:space="0" w:color="000000"/>
              <w:right w:val="nil"/>
            </w:tcBorders>
            <w:hideMark/>
          </w:tcPr>
          <w:p w14:paraId="576526E8" w14:textId="56CC2A35" w:rsidR="0098374F" w:rsidRPr="00A13A08" w:rsidRDefault="00E72D80">
            <w:pPr>
              <w:suppressAutoHyphens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br/>
            </w:r>
            <w:r w:rsidR="0098374F" w:rsidRPr="00A13A08">
              <w:rPr>
                <w:rFonts w:asciiTheme="minorHAnsi" w:eastAsia="Times New Roman" w:hAnsiTheme="minorHAnsi" w:cstheme="minorHAnsi"/>
                <w:kern w:val="0"/>
                <w:lang w:eastAsia="de-DE"/>
              </w:rPr>
              <w:t>Dieses Modul richtet sich an diejenigen, die bisher mit Intelligenzdiagnostik keine</w:t>
            </w:r>
            <w:r w:rsidR="0098374F" w:rsidRPr="00A13A08">
              <w:rPr>
                <w:rFonts w:asciiTheme="minorHAnsi" w:eastAsia="Times New Roman" w:hAnsiTheme="minorHAnsi" w:cstheme="minorHAnsi"/>
                <w:kern w:val="0"/>
                <w:lang w:eastAsia="de-DE"/>
              </w:rPr>
              <w:br/>
              <w:t>oder kaum Erfahrungen sammeln konnten. In der Veranstaltung werden Sie sich mit Grundlagen der Testdiagnostik beschäftigen. Sie setzen sich in kleinen Gruppen praktisch mit Intelligenztests (CFT/HAWIK) auseinander und reflektieren ihre Erfahrungen: Wann ist ein Test sinnvoll? Wann nicht? Welche Aussagekraft hat er? Wie wird er durchgeführt?</w:t>
            </w:r>
            <w:r>
              <w:rPr>
                <w:rFonts w:asciiTheme="minorHAnsi" w:eastAsia="Times New Roman" w:hAnsiTheme="minorHAnsi" w:cstheme="minorHAnsi"/>
                <w:kern w:val="0"/>
                <w:lang w:eastAsia="de-DE"/>
              </w:rPr>
              <w:br/>
            </w:r>
            <w:r>
              <w:rPr>
                <w:rFonts w:asciiTheme="minorHAnsi" w:eastAsia="Times New Roman" w:hAnsiTheme="minorHAnsi" w:cstheme="minorHAnsi"/>
                <w:kern w:val="0"/>
                <w:lang w:eastAsia="de-DE"/>
              </w:rPr>
              <w:br/>
            </w:r>
            <w:r>
              <w:rPr>
                <w:rFonts w:asciiTheme="minorHAnsi" w:eastAsia="Times New Roman" w:hAnsiTheme="minorHAnsi" w:cstheme="minorHAnsi"/>
                <w:kern w:val="0"/>
                <w:lang w:eastAsia="de-DE"/>
              </w:rPr>
              <w:br/>
            </w:r>
            <w:r w:rsidR="0098374F" w:rsidRPr="00A13A08">
              <w:rPr>
                <w:rFonts w:asciiTheme="minorHAnsi" w:eastAsia="Times New Roman" w:hAnsiTheme="minorHAnsi" w:cstheme="minorHAnsi"/>
                <w:kern w:val="0"/>
                <w:lang w:eastAsia="de-DE"/>
              </w:rPr>
              <w:br/>
            </w:r>
          </w:p>
        </w:tc>
        <w:tc>
          <w:tcPr>
            <w:tcW w:w="850" w:type="dxa"/>
            <w:tcBorders>
              <w:top w:val="single" w:sz="4" w:space="0" w:color="000000"/>
              <w:left w:val="single" w:sz="8" w:space="0" w:color="000000"/>
              <w:bottom w:val="single" w:sz="4" w:space="0" w:color="000000"/>
              <w:right w:val="single" w:sz="8" w:space="0" w:color="000000"/>
            </w:tcBorders>
          </w:tcPr>
          <w:p w14:paraId="5E927988" w14:textId="77777777" w:rsidR="0098374F" w:rsidRPr="00A13A08" w:rsidRDefault="0098374F">
            <w:pPr>
              <w:snapToGrid w:val="0"/>
              <w:spacing w:after="0" w:line="240" w:lineRule="auto"/>
              <w:rPr>
                <w:rFonts w:cs="Arial"/>
                <w:b/>
              </w:rPr>
            </w:pPr>
          </w:p>
        </w:tc>
      </w:tr>
      <w:tr w:rsidR="0098374F" w:rsidRPr="00A13A08" w14:paraId="4F9BE2A9"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hideMark/>
          </w:tcPr>
          <w:p w14:paraId="11FB5EA5" w14:textId="20F8C822" w:rsidR="0098374F" w:rsidRPr="00E72D80" w:rsidRDefault="0098374F" w:rsidP="00E72D80">
            <w:pPr>
              <w:pStyle w:val="Listenabsatz"/>
              <w:numPr>
                <w:ilvl w:val="0"/>
                <w:numId w:val="6"/>
              </w:numPr>
              <w:rPr>
                <w:rFonts w:asciiTheme="minorHAnsi" w:eastAsiaTheme="minorHAnsi" w:hAnsiTheme="minorHAnsi" w:cstheme="minorBidi"/>
                <w:b/>
                <w:kern w:val="0"/>
                <w:lang w:eastAsia="en-US"/>
              </w:rPr>
            </w:pPr>
            <w:r w:rsidRPr="00E72D80">
              <w:rPr>
                <w:b/>
              </w:rPr>
              <w:t>Ich in der Inklusion!</w:t>
            </w:r>
            <w:r w:rsidRPr="00E72D80">
              <w:rPr>
                <w:b/>
              </w:rPr>
              <w:br/>
              <w:t>Erweiterung der kooperativen Handlungskompetenz und</w:t>
            </w:r>
            <w:r w:rsidRPr="00E72D80">
              <w:rPr>
                <w:b/>
              </w:rPr>
              <w:br/>
              <w:t>Stärkung der Lehrerrolle</w:t>
            </w:r>
          </w:p>
          <w:p w14:paraId="736AA47F" w14:textId="77777777" w:rsidR="0098374F" w:rsidRPr="00A13A08" w:rsidRDefault="0098374F">
            <w:pPr>
              <w:spacing w:after="0" w:line="240" w:lineRule="auto"/>
              <w:ind w:left="113" w:right="113"/>
              <w:jc w:val="center"/>
              <w:rPr>
                <w:rFonts w:cs="Arial"/>
                <w:b/>
              </w:rPr>
            </w:pPr>
            <w:r w:rsidRPr="00A13A08">
              <w:rPr>
                <w:rFonts w:cs="Arial"/>
                <w:b/>
              </w:rPr>
              <w:br/>
            </w:r>
            <w:r w:rsidRPr="00A13A08">
              <w:rPr>
                <w:rFonts w:cs="Arial"/>
                <w:b/>
              </w:rPr>
              <w:br/>
            </w:r>
            <w:r w:rsidRPr="00A13A08">
              <w:rPr>
                <w:rFonts w:cs="Arial"/>
                <w:b/>
              </w:rPr>
              <w:br/>
            </w:r>
          </w:p>
        </w:tc>
        <w:tc>
          <w:tcPr>
            <w:tcW w:w="8618" w:type="dxa"/>
            <w:tcBorders>
              <w:top w:val="single" w:sz="4" w:space="0" w:color="000000"/>
              <w:left w:val="single" w:sz="8" w:space="0" w:color="000000"/>
              <w:bottom w:val="single" w:sz="4" w:space="0" w:color="000000"/>
              <w:right w:val="nil"/>
            </w:tcBorders>
            <w:hideMark/>
          </w:tcPr>
          <w:p w14:paraId="5D35A40E" w14:textId="344E0427" w:rsidR="0098374F" w:rsidRPr="00A13A08" w:rsidRDefault="00D245A4" w:rsidP="00E66DDD">
            <w:pPr>
              <w:rPr>
                <w:rFonts w:asciiTheme="minorHAnsi" w:eastAsiaTheme="minorHAnsi" w:hAnsiTheme="minorHAnsi" w:cstheme="minorHAnsi"/>
                <w:kern w:val="0"/>
                <w:lang w:eastAsia="en-US"/>
              </w:rPr>
            </w:pPr>
            <w:r w:rsidRPr="00A13A08">
              <w:rPr>
                <w:rFonts w:asciiTheme="minorHAnsi" w:hAnsiTheme="minorHAnsi" w:cstheme="minorHAnsi"/>
              </w:rPr>
              <w:br/>
            </w:r>
            <w:r w:rsidR="00E66DDD" w:rsidRPr="00A13A08">
              <w:rPr>
                <w:rFonts w:asciiTheme="minorHAnsi" w:hAnsiTheme="minorHAnsi" w:cstheme="minorHAnsi"/>
              </w:rPr>
              <w:t>Die eigene Rolle im inklusiven Kontext zu definieren und eine eigene Haltung zur inklusiven Zusammenarbeit zu finden, stellen wichtige Gelingensbedingungen für eine gewinnbringende Kooperation im inklusiven Setting dar . Mit Hilfe von Fallbeispielen wird praktisch erprobt, wie man mit verschiedenen Erwartungshaltungen und Anforderungen umgehen kann. Denn Handlungsstrategien zur kooperativen Zusammenarbeit ermöglichen mehr Zufriedenheit im Beruf und tragen zur Findung von Lösungsmöglichkeiten in schwierigen Handlungssituationen bei</w:t>
            </w:r>
            <w:r w:rsidR="00E72D80">
              <w:rPr>
                <w:rFonts w:asciiTheme="minorHAnsi" w:hAnsiTheme="minorHAnsi" w:cstheme="minorHAnsi"/>
              </w:rPr>
              <w:br/>
            </w:r>
            <w:r w:rsidR="00E72D80">
              <w:rPr>
                <w:rFonts w:asciiTheme="minorHAnsi" w:hAnsiTheme="minorHAnsi" w:cstheme="minorHAnsi"/>
              </w:rPr>
              <w:br/>
            </w:r>
            <w:r w:rsidR="00E66DDD" w:rsidRPr="00A13A08">
              <w:rPr>
                <w:rFonts w:asciiTheme="minorHAnsi" w:hAnsiTheme="minorHAnsi" w:cstheme="minorHAnsi"/>
              </w:rPr>
              <w:t xml:space="preserve">. </w:t>
            </w:r>
          </w:p>
        </w:tc>
        <w:tc>
          <w:tcPr>
            <w:tcW w:w="850" w:type="dxa"/>
            <w:tcBorders>
              <w:top w:val="single" w:sz="4" w:space="0" w:color="000000"/>
              <w:left w:val="single" w:sz="8" w:space="0" w:color="000000"/>
              <w:bottom w:val="single" w:sz="4" w:space="0" w:color="000000"/>
              <w:right w:val="single" w:sz="8" w:space="0" w:color="000000"/>
            </w:tcBorders>
          </w:tcPr>
          <w:p w14:paraId="6DE39A1B" w14:textId="77777777" w:rsidR="0098374F" w:rsidRPr="00A13A08" w:rsidRDefault="0098374F">
            <w:pPr>
              <w:snapToGrid w:val="0"/>
              <w:spacing w:after="0" w:line="240" w:lineRule="auto"/>
              <w:rPr>
                <w:rFonts w:cs="Arial"/>
                <w:b/>
              </w:rPr>
            </w:pPr>
          </w:p>
        </w:tc>
      </w:tr>
      <w:tr w:rsidR="00D245A4" w:rsidRPr="00A13A08" w14:paraId="08BC1744" w14:textId="77777777" w:rsidTr="00A13A08">
        <w:trPr>
          <w:cantSplit/>
          <w:trHeight w:val="983"/>
        </w:trPr>
        <w:tc>
          <w:tcPr>
            <w:tcW w:w="1407" w:type="dxa"/>
            <w:tcBorders>
              <w:top w:val="single" w:sz="4" w:space="0" w:color="000000"/>
              <w:left w:val="single" w:sz="8" w:space="0" w:color="000000"/>
              <w:bottom w:val="single" w:sz="4" w:space="0" w:color="000000"/>
              <w:right w:val="nil"/>
            </w:tcBorders>
            <w:textDirection w:val="btLr"/>
          </w:tcPr>
          <w:p w14:paraId="2AA734CA" w14:textId="57B45F90" w:rsidR="00D245A4" w:rsidRPr="00E72D80" w:rsidRDefault="00E72D80" w:rsidP="00C806EC">
            <w:pPr>
              <w:ind w:left="113"/>
              <w:jc w:val="center"/>
              <w:rPr>
                <w:b/>
              </w:rPr>
            </w:pPr>
            <w:r>
              <w:rPr>
                <w:b/>
              </w:rPr>
              <w:lastRenderedPageBreak/>
              <w:t xml:space="preserve">9. </w:t>
            </w:r>
            <w:r w:rsidR="00D245A4" w:rsidRPr="00E72D80">
              <w:rPr>
                <w:b/>
              </w:rPr>
              <w:t>Deutsch</w:t>
            </w:r>
            <w:r>
              <w:rPr>
                <w:b/>
              </w:rPr>
              <w:t xml:space="preserve"> als</w:t>
            </w:r>
            <w:r w:rsidR="00D245A4" w:rsidRPr="00E72D80">
              <w:rPr>
                <w:b/>
              </w:rPr>
              <w:br/>
              <w:t xml:space="preserve">  Zweitsprache</w:t>
            </w:r>
          </w:p>
        </w:tc>
        <w:tc>
          <w:tcPr>
            <w:tcW w:w="8618" w:type="dxa"/>
            <w:tcBorders>
              <w:top w:val="single" w:sz="4" w:space="0" w:color="000000"/>
              <w:left w:val="single" w:sz="8" w:space="0" w:color="000000"/>
              <w:bottom w:val="single" w:sz="4" w:space="0" w:color="000000"/>
              <w:right w:val="nil"/>
            </w:tcBorders>
          </w:tcPr>
          <w:p w14:paraId="5F354570" w14:textId="75E43EBB" w:rsidR="00D245A4" w:rsidRPr="00A13A08" w:rsidRDefault="00D245A4" w:rsidP="00D245A4">
            <w:pPr>
              <w:spacing w:after="0" w:line="240" w:lineRule="auto"/>
              <w:rPr>
                <w:rFonts w:cs="Arial"/>
              </w:rPr>
            </w:pPr>
            <w:r w:rsidRPr="00A13A08">
              <w:rPr>
                <w:rFonts w:cs="Arial"/>
              </w:rPr>
              <w:t>Im Rahmen dieses Moduls werden die pädagogischen Bedürfnisse einer immer größer werdenden Zielgruppe aus der Schülerschaft von Förderschulen und allgemeinen Schulen in den Blick genommen. Nach einer inhaltlichen Annäherung geht es vornehmlich darum Handlungswege für die Unterrichtsorganisation und – planung zu entwickeln, mit Hilfe derer Schülerinnen und Schüler mit Migrationshintergrund bestmöglich in ihrem Lernprozess gestützt werden können.</w:t>
            </w:r>
          </w:p>
          <w:p w14:paraId="6BA0E40D" w14:textId="19B5C177" w:rsidR="00D245A4" w:rsidRPr="00A13A08" w:rsidRDefault="00D245A4" w:rsidP="00D245A4">
            <w:pPr>
              <w:rPr>
                <w:rFonts w:asciiTheme="minorHAnsi" w:hAnsiTheme="minorHAnsi" w:cstheme="minorHAnsi"/>
              </w:rPr>
            </w:pPr>
            <w:r w:rsidRPr="00A13A08">
              <w:rPr>
                <w:rFonts w:cs="Arial"/>
              </w:rPr>
              <w:t>Besonders vor dem Hintergrund der Arbeit in inklusiven Bezügen gewinnen das Fachwissen und die pädagogische Handlungssicherheit im Umgang mit kultureller Heterogenität zunehmend an Bedeutung.</w:t>
            </w:r>
          </w:p>
        </w:tc>
        <w:tc>
          <w:tcPr>
            <w:tcW w:w="850" w:type="dxa"/>
            <w:tcBorders>
              <w:top w:val="single" w:sz="4" w:space="0" w:color="000000"/>
              <w:left w:val="single" w:sz="8" w:space="0" w:color="000000"/>
              <w:bottom w:val="single" w:sz="4" w:space="0" w:color="000000"/>
              <w:right w:val="single" w:sz="8" w:space="0" w:color="000000"/>
            </w:tcBorders>
          </w:tcPr>
          <w:p w14:paraId="1659A92E" w14:textId="77777777" w:rsidR="00D245A4" w:rsidRPr="00A13A08" w:rsidRDefault="00D245A4">
            <w:pPr>
              <w:snapToGrid w:val="0"/>
              <w:spacing w:after="0" w:line="240" w:lineRule="auto"/>
              <w:rPr>
                <w:rFonts w:cs="Arial"/>
                <w:b/>
              </w:rPr>
            </w:pPr>
          </w:p>
        </w:tc>
      </w:tr>
      <w:tr w:rsidR="00D245A4" w:rsidRPr="00A13A08" w14:paraId="4ED0D0EB"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tcPr>
          <w:p w14:paraId="4572D235" w14:textId="384A0F77" w:rsidR="00D245A4" w:rsidRPr="00E72D80" w:rsidRDefault="00E72D80" w:rsidP="00E72D80">
            <w:pPr>
              <w:ind w:left="113"/>
              <w:jc w:val="center"/>
              <w:rPr>
                <w:b/>
              </w:rPr>
            </w:pPr>
            <w:r>
              <w:rPr>
                <w:b/>
              </w:rPr>
              <w:t>10.</w:t>
            </w:r>
            <w:r w:rsidR="00F6026D" w:rsidRPr="00E72D80">
              <w:rPr>
                <w:b/>
              </w:rPr>
              <w:br/>
              <w:t>Basis</w:t>
            </w:r>
            <w:r w:rsidR="00A13A08" w:rsidRPr="00E72D80">
              <w:rPr>
                <w:b/>
              </w:rPr>
              <w:t>-</w:t>
            </w:r>
            <w:r w:rsidR="00A13A08" w:rsidRPr="00E72D80">
              <w:rPr>
                <w:b/>
              </w:rPr>
              <w:br/>
            </w:r>
            <w:r w:rsidR="00F6026D" w:rsidRPr="00E72D80">
              <w:rPr>
                <w:b/>
              </w:rPr>
              <w:t>kompetenzen</w:t>
            </w:r>
            <w:r w:rsidR="00F6026D" w:rsidRPr="00E72D80">
              <w:rPr>
                <w:b/>
              </w:rPr>
              <w:br/>
              <w:t>ES</w:t>
            </w:r>
          </w:p>
        </w:tc>
        <w:tc>
          <w:tcPr>
            <w:tcW w:w="8618" w:type="dxa"/>
            <w:tcBorders>
              <w:top w:val="single" w:sz="4" w:space="0" w:color="000000"/>
              <w:left w:val="single" w:sz="8" w:space="0" w:color="000000"/>
              <w:bottom w:val="single" w:sz="4" w:space="0" w:color="000000"/>
              <w:right w:val="nil"/>
            </w:tcBorders>
          </w:tcPr>
          <w:p w14:paraId="60F70685" w14:textId="680511E5" w:rsidR="00D245A4" w:rsidRPr="00A13A08" w:rsidRDefault="00F6026D" w:rsidP="00D245A4">
            <w:pPr>
              <w:spacing w:after="0" w:line="240" w:lineRule="auto"/>
              <w:rPr>
                <w:rFonts w:cs="Arial"/>
              </w:rPr>
            </w:pPr>
            <w:r w:rsidRPr="00A13A08">
              <w:rPr>
                <w:rFonts w:asciiTheme="minorHAnsi" w:eastAsia="Times New Roman" w:hAnsiTheme="minorHAnsi" w:cs="Arial"/>
                <w:color w:val="222222"/>
                <w:kern w:val="0"/>
                <w:shd w:val="clear" w:color="auto" w:fill="FFFFFF"/>
                <w:lang w:eastAsia="de-DE"/>
              </w:rPr>
              <w:t xml:space="preserve">Das Modul richtet sich an LiVds, die den Förderschwerpunkt emotionale und soziale Entwicklung nicht studiert haben und Basiswissen und -kompetenzen erwerben möchten. </w:t>
            </w:r>
            <w:r w:rsidRPr="00A13A08">
              <w:rPr>
                <w:rFonts w:asciiTheme="minorHAnsi" w:eastAsia="Times New Roman" w:hAnsiTheme="minorHAnsi" w:cs="Arial"/>
                <w:color w:val="222222"/>
                <w:kern w:val="0"/>
                <w:shd w:val="clear" w:color="auto" w:fill="FFFFFF"/>
                <w:lang w:eastAsia="de-DE"/>
              </w:rPr>
              <w:br/>
              <w:t>Die Veranstaltung gliedert sich in einen theoriegeleiteten Block, in dem Erscheinungsformen, Klassifikationen und Genese von deviantem Verhalten dargestell</w:t>
            </w:r>
            <w:r w:rsidRPr="00A13A08">
              <w:rPr>
                <w:rFonts w:asciiTheme="minorHAnsi" w:eastAsia="Times New Roman" w:hAnsiTheme="minorHAnsi" w:cs="Arial"/>
                <w:color w:val="222222"/>
                <w:kern w:val="0"/>
                <w:shd w:val="clear" w:color="auto" w:fill="FFFFFF"/>
                <w:lang w:eastAsia="de-DE"/>
              </w:rPr>
              <w:br/>
              <w:t>t und erarbeitet werden sowie einen Praxisblock, in dem Grundlagen der konkreten Unterrichtsführung und -gestaltung für inklusive und nicht-inklusive unterrichtliche Kontexte abgeleitet werden.</w:t>
            </w:r>
          </w:p>
        </w:tc>
        <w:tc>
          <w:tcPr>
            <w:tcW w:w="850" w:type="dxa"/>
            <w:tcBorders>
              <w:top w:val="single" w:sz="4" w:space="0" w:color="000000"/>
              <w:left w:val="single" w:sz="8" w:space="0" w:color="000000"/>
              <w:bottom w:val="single" w:sz="4" w:space="0" w:color="000000"/>
              <w:right w:val="single" w:sz="8" w:space="0" w:color="000000"/>
            </w:tcBorders>
          </w:tcPr>
          <w:p w14:paraId="7FC1F494" w14:textId="77777777" w:rsidR="00D245A4" w:rsidRPr="00A13A08" w:rsidRDefault="00D245A4">
            <w:pPr>
              <w:snapToGrid w:val="0"/>
              <w:spacing w:after="0" w:line="240" w:lineRule="auto"/>
              <w:rPr>
                <w:rFonts w:cs="Arial"/>
                <w:b/>
              </w:rPr>
            </w:pPr>
          </w:p>
        </w:tc>
      </w:tr>
      <w:tr w:rsidR="00D245A4" w:rsidRPr="00A13A08" w14:paraId="32A30DEA" w14:textId="77777777" w:rsidTr="009D0360">
        <w:trPr>
          <w:cantSplit/>
          <w:trHeight w:val="1140"/>
        </w:trPr>
        <w:tc>
          <w:tcPr>
            <w:tcW w:w="1407" w:type="dxa"/>
            <w:tcBorders>
              <w:top w:val="single" w:sz="4" w:space="0" w:color="000000"/>
              <w:left w:val="single" w:sz="8" w:space="0" w:color="000000"/>
              <w:bottom w:val="single" w:sz="4" w:space="0" w:color="000000"/>
              <w:right w:val="nil"/>
            </w:tcBorders>
            <w:textDirection w:val="btLr"/>
          </w:tcPr>
          <w:p w14:paraId="1ECB0B35" w14:textId="212ECCAA" w:rsidR="00D245A4" w:rsidRPr="00E72D80" w:rsidRDefault="00E72D80" w:rsidP="00E72D80">
            <w:pPr>
              <w:ind w:left="113"/>
              <w:jc w:val="center"/>
              <w:rPr>
                <w:b/>
              </w:rPr>
            </w:pPr>
            <w:r>
              <w:rPr>
                <w:b/>
              </w:rPr>
              <w:t>11.</w:t>
            </w:r>
            <w:r w:rsidR="00F6026D" w:rsidRPr="00E72D80">
              <w:rPr>
                <w:b/>
              </w:rPr>
              <w:br/>
              <w:t>Bewegtes Lernen</w:t>
            </w:r>
          </w:p>
        </w:tc>
        <w:tc>
          <w:tcPr>
            <w:tcW w:w="8618" w:type="dxa"/>
            <w:tcBorders>
              <w:top w:val="single" w:sz="4" w:space="0" w:color="000000"/>
              <w:left w:val="single" w:sz="8" w:space="0" w:color="000000"/>
              <w:bottom w:val="single" w:sz="4" w:space="0" w:color="000000"/>
              <w:right w:val="nil"/>
            </w:tcBorders>
          </w:tcPr>
          <w:p w14:paraId="5FC61536" w14:textId="45209B9B" w:rsidR="009C28F2" w:rsidRDefault="00F6026D" w:rsidP="009C28F2">
            <w:pPr>
              <w:pStyle w:val="KeinLeerraum"/>
            </w:pPr>
            <w:r w:rsidRPr="00A13A08">
              <w:rPr>
                <w:rFonts w:cs="Arial"/>
              </w:rPr>
              <w:br/>
            </w:r>
            <w:bookmarkStart w:id="0" w:name="_GoBack"/>
            <w:bookmarkEnd w:id="0"/>
            <w:r w:rsidR="009C28F2">
              <w:t xml:space="preserve">Ziel dieses Modul ist, den methodischen Ansatz Pestalozzis „Lernen mit Kopf, Herz und Hand“ in den Unterricht der Gegenwart zu integrieren. Nach einer theoretischen Einführung werden mit verschiedensten Materialien Lerngegenstände mit Bewegungshandlungen verknüpft. Beispiele für die Anwendung in unterschiedlichen Altersgruppen und Unterrichtsfächern werden vorgestellt. Dabei steht die aktive Auseinandersetzung im Vordergrund. </w:t>
            </w:r>
          </w:p>
          <w:p w14:paraId="6E79A66D" w14:textId="4D28B1C7" w:rsidR="00D245A4" w:rsidRPr="00A13A08" w:rsidRDefault="00F6026D" w:rsidP="00D245A4">
            <w:pPr>
              <w:spacing w:after="0" w:line="240" w:lineRule="auto"/>
              <w:rPr>
                <w:rFonts w:cs="Arial"/>
              </w:rPr>
            </w:pPr>
            <w:r w:rsidRPr="00A13A08">
              <w:rPr>
                <w:rFonts w:cs="Arial"/>
              </w:rPr>
              <w:br/>
            </w:r>
          </w:p>
        </w:tc>
        <w:tc>
          <w:tcPr>
            <w:tcW w:w="850" w:type="dxa"/>
            <w:tcBorders>
              <w:top w:val="single" w:sz="4" w:space="0" w:color="000000"/>
              <w:left w:val="single" w:sz="8" w:space="0" w:color="000000"/>
              <w:bottom w:val="single" w:sz="4" w:space="0" w:color="000000"/>
              <w:right w:val="single" w:sz="8" w:space="0" w:color="000000"/>
            </w:tcBorders>
          </w:tcPr>
          <w:p w14:paraId="4BF289F3" w14:textId="77777777" w:rsidR="00D245A4" w:rsidRPr="00A13A08" w:rsidRDefault="00D245A4">
            <w:pPr>
              <w:snapToGrid w:val="0"/>
              <w:spacing w:after="0" w:line="240" w:lineRule="auto"/>
              <w:rPr>
                <w:rFonts w:cs="Arial"/>
                <w:b/>
              </w:rPr>
            </w:pPr>
          </w:p>
        </w:tc>
      </w:tr>
    </w:tbl>
    <w:p w14:paraId="2A535A1E" w14:textId="77777777" w:rsidR="0098374F" w:rsidRPr="00A13A08" w:rsidRDefault="0098374F" w:rsidP="0098374F">
      <w:pPr>
        <w:spacing w:after="0" w:line="240" w:lineRule="auto"/>
      </w:pPr>
    </w:p>
    <w:p w14:paraId="5AB4F9E1" w14:textId="77777777" w:rsidR="0098374F" w:rsidRDefault="0098374F" w:rsidP="0098374F">
      <w:pPr>
        <w:jc w:val="both"/>
        <w:rPr>
          <w:rFonts w:cs="Arial"/>
          <w:b/>
          <w:i/>
          <w:sz w:val="24"/>
          <w:szCs w:val="24"/>
        </w:rPr>
      </w:pPr>
    </w:p>
    <w:p w14:paraId="183DCABC" w14:textId="6E67640E" w:rsidR="0002004D" w:rsidRDefault="0002004D"/>
    <w:sectPr w:rsidR="0002004D" w:rsidSect="004E32D1">
      <w:headerReference w:type="default" r:id="rId7"/>
      <w:footerReference w:type="default" r:id="rId8"/>
      <w:pgSz w:w="11906" w:h="16838"/>
      <w:pgMar w:top="2796" w:right="1417" w:bottom="113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C78A" w14:textId="77777777" w:rsidR="000038CA" w:rsidRDefault="000038CA" w:rsidP="00457865">
      <w:pPr>
        <w:spacing w:after="0" w:line="240" w:lineRule="auto"/>
      </w:pPr>
      <w:r>
        <w:separator/>
      </w:r>
    </w:p>
  </w:endnote>
  <w:endnote w:type="continuationSeparator" w:id="0">
    <w:p w14:paraId="2F2506DE" w14:textId="77777777" w:rsidR="000038CA" w:rsidRDefault="000038CA" w:rsidP="0045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123850"/>
      <w:docPartObj>
        <w:docPartGallery w:val="Page Numbers (Bottom of Page)"/>
        <w:docPartUnique/>
      </w:docPartObj>
    </w:sdtPr>
    <w:sdtEndPr/>
    <w:sdtContent>
      <w:p w14:paraId="773B5420" w14:textId="2CE817F9" w:rsidR="0062480E" w:rsidRDefault="0062480E">
        <w:pPr>
          <w:pStyle w:val="Fuzeile"/>
        </w:pPr>
        <w:r>
          <w:fldChar w:fldCharType="begin"/>
        </w:r>
        <w:r>
          <w:instrText>PAGE   \* MERGEFORMAT</w:instrText>
        </w:r>
        <w:r>
          <w:fldChar w:fldCharType="separate"/>
        </w:r>
        <w:r>
          <w:t>2</w:t>
        </w:r>
        <w:r>
          <w:fldChar w:fldCharType="end"/>
        </w:r>
      </w:p>
    </w:sdtContent>
  </w:sdt>
  <w:p w14:paraId="28DE2047" w14:textId="77777777" w:rsidR="0062480E" w:rsidRDefault="006248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5DFE2" w14:textId="77777777" w:rsidR="000038CA" w:rsidRDefault="000038CA" w:rsidP="00457865">
      <w:pPr>
        <w:spacing w:after="0" w:line="240" w:lineRule="auto"/>
      </w:pPr>
      <w:r>
        <w:separator/>
      </w:r>
    </w:p>
  </w:footnote>
  <w:footnote w:type="continuationSeparator" w:id="0">
    <w:p w14:paraId="0D369A2B" w14:textId="77777777" w:rsidR="000038CA" w:rsidRDefault="000038CA" w:rsidP="00457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CAC2" w14:textId="6DA15629" w:rsidR="00457865" w:rsidRPr="00457865" w:rsidRDefault="00457865" w:rsidP="00457865">
    <w:pPr>
      <w:pStyle w:val="Kopfzeile"/>
      <w:rPr>
        <w:rFonts w:eastAsia="MS PGothic" w:cs="Tahoma"/>
        <w:b/>
        <w:color w:val="FF0000"/>
        <w:sz w:val="20"/>
        <w:szCs w:val="20"/>
        <w:lang w:eastAsia="de-DE"/>
      </w:rPr>
    </w:pPr>
    <w:r>
      <w:rPr>
        <w:noProof/>
        <w:lang w:eastAsia="de-DE"/>
      </w:rPr>
      <w:drawing>
        <wp:anchor distT="0" distB="0" distL="114300" distR="114300" simplePos="0" relativeHeight="251658240" behindDoc="0" locked="0" layoutInCell="1" allowOverlap="1" wp14:anchorId="183DCACF" wp14:editId="183DCAD0">
          <wp:simplePos x="0" y="0"/>
          <wp:positionH relativeFrom="margin">
            <wp:align>right</wp:align>
          </wp:positionH>
          <wp:positionV relativeFrom="paragraph">
            <wp:posOffset>-90805</wp:posOffset>
          </wp:positionV>
          <wp:extent cx="2011045" cy="975360"/>
          <wp:effectExtent l="0" t="0" r="825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5" cy="975360"/>
                  </a:xfrm>
                  <a:prstGeom prst="rect">
                    <a:avLst/>
                  </a:prstGeom>
                  <a:noFill/>
                </pic:spPr>
              </pic:pic>
            </a:graphicData>
          </a:graphic>
          <wp14:sizeRelH relativeFrom="page">
            <wp14:pctWidth>0</wp14:pctWidth>
          </wp14:sizeRelH>
          <wp14:sizeRelV relativeFrom="page">
            <wp14:pctHeight>0</wp14:pctHeight>
          </wp14:sizeRelV>
        </wp:anchor>
      </w:drawing>
    </w:r>
  </w:p>
  <w:p w14:paraId="183DCAC3" w14:textId="77777777" w:rsidR="00457865" w:rsidRDefault="00457865" w:rsidP="00457865">
    <w:pPr>
      <w:pStyle w:val="Kopfzeile"/>
      <w:rPr>
        <w:rFonts w:eastAsia="MS PGothic" w:cs="Tahoma"/>
        <w:b/>
        <w:sz w:val="20"/>
        <w:szCs w:val="20"/>
        <w:lang w:eastAsia="de-DE"/>
      </w:rPr>
    </w:pPr>
    <w:r>
      <w:rPr>
        <w:rFonts w:eastAsia="MS PGothic" w:cs="Tahoma"/>
        <w:b/>
        <w:sz w:val="20"/>
        <w:szCs w:val="20"/>
        <w:lang w:eastAsia="de-DE"/>
      </w:rPr>
      <w:t>Studienseminar Osnabrück</w:t>
    </w:r>
  </w:p>
  <w:p w14:paraId="183DCAC4" w14:textId="77777777" w:rsidR="00457865" w:rsidRDefault="00457865" w:rsidP="00457865">
    <w:pPr>
      <w:pStyle w:val="Kopfzeile"/>
      <w:rPr>
        <w:rFonts w:eastAsia="MS PGothic" w:cs="Tahoma"/>
        <w:b/>
        <w:sz w:val="18"/>
        <w:szCs w:val="18"/>
        <w:lang w:eastAsia="de-DE"/>
      </w:rPr>
    </w:pPr>
    <w:r>
      <w:rPr>
        <w:rFonts w:eastAsia="MS PGothic" w:cs="Tahoma"/>
        <w:b/>
        <w:sz w:val="18"/>
        <w:szCs w:val="18"/>
        <w:lang w:eastAsia="de-DE"/>
      </w:rPr>
      <w:t>für das</w:t>
    </w:r>
    <w:r>
      <w:rPr>
        <w:rFonts w:eastAsia="MS PGothic" w:cs="Tahoma"/>
        <w:sz w:val="18"/>
        <w:szCs w:val="18"/>
        <w:lang w:eastAsia="de-DE"/>
      </w:rPr>
      <w:t xml:space="preserve"> </w:t>
    </w:r>
    <w:r>
      <w:rPr>
        <w:rFonts w:eastAsia="MS PGothic" w:cs="Tahoma"/>
        <w:b/>
        <w:sz w:val="18"/>
        <w:szCs w:val="18"/>
        <w:lang w:eastAsia="de-DE"/>
      </w:rPr>
      <w:t>Lehramt für Sonderpädagogik</w:t>
    </w:r>
  </w:p>
  <w:p w14:paraId="183DCAC5" w14:textId="5B5FFBA3" w:rsidR="00082F58" w:rsidRDefault="00082F58" w:rsidP="00457865">
    <w:pPr>
      <w:pStyle w:val="Kopfzeile"/>
      <w:rPr>
        <w:rFonts w:eastAsia="MS PGothic" w:cs="Tahoma"/>
        <w:b/>
        <w:sz w:val="18"/>
        <w:szCs w:val="18"/>
        <w:lang w:eastAsia="de-DE"/>
      </w:rPr>
    </w:pPr>
    <w:r>
      <w:rPr>
        <w:rFonts w:eastAsia="MS PGothic" w:cs="Tahoma"/>
        <w:b/>
        <w:sz w:val="18"/>
        <w:szCs w:val="18"/>
        <w:lang w:eastAsia="de-DE"/>
      </w:rPr>
      <w:t>Standorte Osnabrück und Aurich</w:t>
    </w:r>
    <w:r w:rsidR="0074263D">
      <w:rPr>
        <w:rFonts w:eastAsia="MS PGothic" w:cs="Tahoma"/>
        <w:b/>
        <w:sz w:val="18"/>
        <w:szCs w:val="18"/>
        <w:lang w:eastAsia="de-DE"/>
      </w:rPr>
      <w:br/>
    </w:r>
    <w:r w:rsidR="0074263D" w:rsidRPr="0074263D">
      <w:rPr>
        <w:rFonts w:eastAsia="MS PGothic" w:cs="Tahoma"/>
        <w:bCs/>
        <w:sz w:val="18"/>
        <w:szCs w:val="18"/>
        <w:lang w:eastAsia="de-DE"/>
      </w:rPr>
      <w:t>Winkel</w:t>
    </w:r>
    <w:r w:rsidR="0098374F">
      <w:rPr>
        <w:rFonts w:eastAsia="MS PGothic" w:cs="Tahoma"/>
        <w:bCs/>
        <w:sz w:val="18"/>
        <w:szCs w:val="18"/>
        <w:lang w:eastAsia="de-DE"/>
      </w:rPr>
      <w:t>haus</w:t>
    </w:r>
    <w:r w:rsidR="0074263D" w:rsidRPr="0074263D">
      <w:rPr>
        <w:rFonts w:eastAsia="MS PGothic" w:cs="Tahoma"/>
        <w:bCs/>
        <w:sz w:val="18"/>
        <w:szCs w:val="18"/>
        <w:lang w:eastAsia="de-DE"/>
      </w:rPr>
      <w:t>enstraße</w:t>
    </w:r>
    <w:r w:rsidR="00976754">
      <w:rPr>
        <w:rFonts w:eastAsia="MS PGothic" w:cs="Tahoma"/>
        <w:bCs/>
        <w:sz w:val="18"/>
        <w:szCs w:val="18"/>
        <w:lang w:eastAsia="de-DE"/>
      </w:rPr>
      <w:t xml:space="preserve"> </w:t>
    </w:r>
    <w:r w:rsidR="0074263D" w:rsidRPr="0074263D">
      <w:rPr>
        <w:rFonts w:eastAsia="MS PGothic" w:cs="Tahoma"/>
        <w:bCs/>
        <w:sz w:val="18"/>
        <w:szCs w:val="18"/>
        <w:lang w:eastAsia="de-DE"/>
      </w:rPr>
      <w:t>18</w:t>
    </w:r>
    <w:r w:rsidR="0074263D" w:rsidRPr="0074263D">
      <w:rPr>
        <w:rFonts w:eastAsia="MS PGothic" w:cs="Tahoma"/>
        <w:bCs/>
        <w:sz w:val="18"/>
        <w:szCs w:val="18"/>
        <w:lang w:eastAsia="de-DE"/>
      </w:rPr>
      <w:br/>
      <w:t>49090 Osnabrück</w:t>
    </w:r>
    <w:r w:rsidR="0074263D" w:rsidRPr="0074263D">
      <w:rPr>
        <w:rFonts w:eastAsia="MS PGothic" w:cs="Tahoma"/>
        <w:bCs/>
        <w:sz w:val="18"/>
        <w:szCs w:val="18"/>
        <w:lang w:eastAsia="de-DE"/>
      </w:rPr>
      <w:br/>
      <w:t>0541/77046960</w:t>
    </w:r>
  </w:p>
  <w:p w14:paraId="183DCACA" w14:textId="3B004AF3" w:rsidR="00457865" w:rsidRPr="00B42404" w:rsidRDefault="00457865" w:rsidP="004E32D1">
    <w:pPr>
      <w:pStyle w:val="Kopfzeile"/>
      <w:jc w:val="center"/>
      <w:rPr>
        <w:rFonts w:eastAsia="MS PGothic" w:cs="Tahoma"/>
        <w:sz w:val="24"/>
        <w:szCs w:val="24"/>
        <w:lang w:eastAsia="de-DE"/>
      </w:rPr>
    </w:pPr>
    <w:r>
      <w:rPr>
        <w:rFonts w:eastAsia="MS PGothic" w:cs="Tahoma"/>
        <w:sz w:val="16"/>
        <w:szCs w:val="16"/>
        <w:lang w:eastAsia="de-DE"/>
      </w:rPr>
      <w:t xml:space="preserve">Mail: </w:t>
    </w:r>
    <w:hyperlink r:id="rId2" w:history="1">
      <w:r w:rsidR="0098374F" w:rsidRPr="00F54ABA">
        <w:rPr>
          <w:rStyle w:val="Hyperlink"/>
          <w:rFonts w:eastAsia="MS PGothic" w:cs="Tahoma"/>
          <w:sz w:val="16"/>
          <w:szCs w:val="16"/>
          <w:lang w:eastAsia="de-DE"/>
        </w:rPr>
        <w:t>poststelle@seminar-os-so.niedersachsen.de</w:t>
      </w:r>
    </w:hyperlink>
    <w:r w:rsidR="0098374F">
      <w:rPr>
        <w:rFonts w:eastAsia="MS PGothic" w:cs="Tahoma"/>
        <w:sz w:val="16"/>
        <w:szCs w:val="16"/>
        <w:lang w:eastAsia="de-DE"/>
      </w:rPr>
      <w:br/>
    </w:r>
    <w:r w:rsidR="0098374F">
      <w:rPr>
        <w:rFonts w:eastAsia="MS PGothic" w:cs="Tahoma"/>
        <w:sz w:val="16"/>
        <w:szCs w:val="16"/>
        <w:lang w:eastAsia="de-DE"/>
      </w:rPr>
      <w:br/>
    </w:r>
    <w:r w:rsidR="0098374F">
      <w:rPr>
        <w:rFonts w:eastAsia="MS PGothic" w:cs="Tahoma"/>
        <w:sz w:val="16"/>
        <w:szCs w:val="16"/>
        <w:lang w:eastAsia="de-DE"/>
      </w:rPr>
      <w:br/>
    </w:r>
    <w:r w:rsidR="0098374F">
      <w:rPr>
        <w:rFonts w:eastAsia="MS PGothic" w:cs="Tahoma"/>
        <w:sz w:val="16"/>
        <w:szCs w:val="16"/>
        <w:lang w:eastAsia="de-DE"/>
      </w:rPr>
      <w:br/>
    </w:r>
    <w:r w:rsidR="009D0360">
      <w:rPr>
        <w:rFonts w:eastAsia="MS PGothic" w:cs="Tahoma"/>
        <w:b/>
        <w:bCs/>
        <w:sz w:val="32"/>
        <w:szCs w:val="32"/>
        <w:lang w:eastAsia="de-DE"/>
      </w:rPr>
      <w:t xml:space="preserve">      Übersicht der Modulangebote am Standort Osnabrüc</w:t>
    </w:r>
    <w:r w:rsidR="00F6026D">
      <w:rPr>
        <w:rFonts w:eastAsia="MS PGothic" w:cs="Tahoma"/>
        <w:b/>
        <w:bCs/>
        <w:sz w:val="32"/>
        <w:szCs w:val="32"/>
        <w:lang w:eastAsia="de-DE"/>
      </w:rPr>
      <w:t>k</w:t>
    </w:r>
    <w:r w:rsidR="00F3113F">
      <w:rPr>
        <w:rFonts w:eastAsia="MS PGothic" w:cs="Tahoma"/>
        <w:b/>
        <w:bCs/>
        <w:sz w:val="32"/>
        <w:szCs w:val="32"/>
        <w:lang w:eastAsia="de-DE"/>
      </w:rPr>
      <w:br/>
    </w:r>
    <w:r w:rsidR="00F3113F" w:rsidRPr="00F3113F">
      <w:rPr>
        <w:rFonts w:eastAsia="MS PGothic" w:cs="Tahoma"/>
        <w:b/>
        <w:bCs/>
        <w:i/>
        <w:iCs/>
        <w:lang w:eastAsia="de-DE"/>
      </w:rPr>
      <w:t>Hinweis:</w:t>
    </w:r>
    <w:r w:rsidR="00F3113F" w:rsidRPr="00F3113F">
      <w:rPr>
        <w:rFonts w:eastAsia="MS PGothic" w:cs="Tahoma"/>
        <w:b/>
        <w:bCs/>
        <w:lang w:eastAsia="de-DE"/>
      </w:rPr>
      <w:br/>
    </w:r>
    <w:r w:rsidR="00F6026D" w:rsidRPr="00F3113F">
      <w:rPr>
        <w:rFonts w:eastAsia="MS PGothic" w:cs="Tahoma"/>
        <w:b/>
        <w:bCs/>
        <w:lang w:eastAsia="de-DE"/>
      </w:rPr>
      <w:t>Die Module 1</w:t>
    </w:r>
    <w:r w:rsidR="00F3113F" w:rsidRPr="00F3113F">
      <w:rPr>
        <w:rFonts w:eastAsia="MS PGothic" w:cs="Tahoma"/>
        <w:b/>
        <w:bCs/>
        <w:lang w:eastAsia="de-DE"/>
      </w:rPr>
      <w:t xml:space="preserve"> </w:t>
    </w:r>
    <w:r w:rsidR="00F6026D" w:rsidRPr="00F3113F">
      <w:rPr>
        <w:rFonts w:eastAsia="MS PGothic" w:cs="Tahoma"/>
        <w:b/>
        <w:bCs/>
        <w:lang w:eastAsia="de-DE"/>
      </w:rPr>
      <w:t xml:space="preserve">- 5 werden 2x pro Schuljahr durchgeführt. </w:t>
    </w:r>
    <w:r w:rsidR="00F6026D" w:rsidRPr="00F3113F">
      <w:rPr>
        <w:rFonts w:eastAsia="MS PGothic" w:cs="Tahoma"/>
        <w:b/>
        <w:bCs/>
        <w:lang w:eastAsia="de-DE"/>
      </w:rPr>
      <w:br/>
      <w:t xml:space="preserve">Die Module </w:t>
    </w:r>
    <w:r w:rsidR="00F3113F" w:rsidRPr="00F3113F">
      <w:rPr>
        <w:rFonts w:eastAsia="MS PGothic" w:cs="Tahoma"/>
        <w:b/>
        <w:bCs/>
        <w:lang w:eastAsia="de-DE"/>
      </w:rPr>
      <w:t xml:space="preserve">6 - 8 werden im 1. Halbjahr („Winter“) durchgeführt. </w:t>
    </w:r>
    <w:r w:rsidR="00F3113F" w:rsidRPr="00F3113F">
      <w:rPr>
        <w:rFonts w:eastAsia="MS PGothic" w:cs="Tahoma"/>
        <w:b/>
        <w:bCs/>
        <w:lang w:eastAsia="de-DE"/>
      </w:rPr>
      <w:br/>
      <w:t>Die Module 9 – 11 werden im 2. Halbjahr („Sommer“) durchgeführt</w:t>
    </w:r>
    <w:r w:rsidR="00A13A08">
      <w:rPr>
        <w:rFonts w:eastAsia="MS PGothic" w:cs="Tahoma"/>
        <w:b/>
        <w:bCs/>
        <w:lang w:eastAsia="de-DE"/>
      </w:rPr>
      <w:br/>
    </w:r>
    <w:r w:rsidR="00A13A08">
      <w:rPr>
        <w:rFonts w:eastAsia="MS PGothic" w:cs="Tahoma"/>
        <w:b/>
        <w:bCs/>
        <w:lang w:eastAsia="de-D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6"/>
        </w:tabs>
        <w:ind w:left="644" w:hanging="360"/>
      </w:pPr>
      <w:rPr>
        <w:rFonts w:ascii="Symbol" w:hAnsi="Symbol" w:cs="Calibri" w:hint="default"/>
      </w:rPr>
    </w:lvl>
  </w:abstractNum>
  <w:abstractNum w:abstractNumId="1" w15:restartNumberingAfterBreak="0">
    <w:nsid w:val="03226067"/>
    <w:multiLevelType w:val="hybridMultilevel"/>
    <w:tmpl w:val="2B06E37A"/>
    <w:lvl w:ilvl="0" w:tplc="183AE672">
      <w:start w:val="8"/>
      <w:numFmt w:val="decimal"/>
      <w:lvlText w:val="%1."/>
      <w:lvlJc w:val="left"/>
      <w:pPr>
        <w:ind w:left="473" w:hanging="360"/>
      </w:pPr>
      <w:rPr>
        <w:rFonts w:ascii="Calibri" w:eastAsia="Calibri" w:hAnsi="Calibri" w:cs="Calibri"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 w15:restartNumberingAfterBreak="0">
    <w:nsid w:val="08A546C6"/>
    <w:multiLevelType w:val="hybridMultilevel"/>
    <w:tmpl w:val="D3DE7E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DB32E7B"/>
    <w:multiLevelType w:val="hybridMultilevel"/>
    <w:tmpl w:val="C1F426B4"/>
    <w:lvl w:ilvl="0" w:tplc="2CD42A4C">
      <w:start w:val="1"/>
      <w:numFmt w:val="decimal"/>
      <w:lvlText w:val="%1."/>
      <w:lvlJc w:val="left"/>
      <w:pPr>
        <w:ind w:left="473" w:hanging="360"/>
      </w:pPr>
      <w:rPr>
        <w:rFonts w:hint="default"/>
        <w:b/>
        <w:bCs/>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5DB76FB1"/>
    <w:multiLevelType w:val="hybridMultilevel"/>
    <w:tmpl w:val="38B4CE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19F58B5"/>
    <w:multiLevelType w:val="hybridMultilevel"/>
    <w:tmpl w:val="F37C9A1C"/>
    <w:lvl w:ilvl="0" w:tplc="9E1AC4EA">
      <w:start w:val="4"/>
      <w:numFmt w:val="decimal"/>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65"/>
    <w:rsid w:val="000038CA"/>
    <w:rsid w:val="00006192"/>
    <w:rsid w:val="0002004D"/>
    <w:rsid w:val="00082F58"/>
    <w:rsid w:val="000E0E55"/>
    <w:rsid w:val="001E6312"/>
    <w:rsid w:val="001F28FA"/>
    <w:rsid w:val="00321EA7"/>
    <w:rsid w:val="00332B54"/>
    <w:rsid w:val="003738AE"/>
    <w:rsid w:val="00380777"/>
    <w:rsid w:val="003F3D20"/>
    <w:rsid w:val="00457865"/>
    <w:rsid w:val="004E32D1"/>
    <w:rsid w:val="005E37A6"/>
    <w:rsid w:val="0062480E"/>
    <w:rsid w:val="00650638"/>
    <w:rsid w:val="00650E49"/>
    <w:rsid w:val="0073241E"/>
    <w:rsid w:val="0074263D"/>
    <w:rsid w:val="00890124"/>
    <w:rsid w:val="008F69D4"/>
    <w:rsid w:val="00911E6A"/>
    <w:rsid w:val="00976754"/>
    <w:rsid w:val="0098374F"/>
    <w:rsid w:val="009C28F2"/>
    <w:rsid w:val="009D0360"/>
    <w:rsid w:val="00A13A08"/>
    <w:rsid w:val="00B42404"/>
    <w:rsid w:val="00C66565"/>
    <w:rsid w:val="00C806EC"/>
    <w:rsid w:val="00CE437D"/>
    <w:rsid w:val="00D245A4"/>
    <w:rsid w:val="00E66DDD"/>
    <w:rsid w:val="00E72D80"/>
    <w:rsid w:val="00F05551"/>
    <w:rsid w:val="00F17EEF"/>
    <w:rsid w:val="00F3113F"/>
    <w:rsid w:val="00F60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DCABC"/>
  <w15:chartTrackingRefBased/>
  <w15:docId w15:val="{4AF0D265-ED25-449C-9AFE-26A9D0B4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374F"/>
    <w:pPr>
      <w:suppressAutoHyphens/>
      <w:spacing w:after="200" w:line="276" w:lineRule="auto"/>
    </w:pPr>
    <w:rPr>
      <w:rFonts w:ascii="Calibri" w:eastAsia="Calibri" w:hAnsi="Calibri" w:cs="Calibri"/>
      <w:kern w:val="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78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865"/>
  </w:style>
  <w:style w:type="paragraph" w:styleId="Fuzeile">
    <w:name w:val="footer"/>
    <w:basedOn w:val="Standard"/>
    <w:link w:val="FuzeileZchn"/>
    <w:uiPriority w:val="99"/>
    <w:unhideWhenUsed/>
    <w:rsid w:val="004578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865"/>
  </w:style>
  <w:style w:type="paragraph" w:styleId="Untertitel">
    <w:name w:val="Subtitle"/>
    <w:basedOn w:val="Standard"/>
    <w:next w:val="Standard"/>
    <w:link w:val="UntertitelZchn"/>
    <w:uiPriority w:val="11"/>
    <w:qFormat/>
    <w:rsid w:val="0098374F"/>
    <w:p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98374F"/>
    <w:rPr>
      <w:rFonts w:eastAsiaTheme="minorEastAsia"/>
      <w:color w:val="5A5A5A" w:themeColor="text1" w:themeTint="A5"/>
      <w:spacing w:val="15"/>
      <w:kern w:val="2"/>
      <w:lang w:eastAsia="ar-SA"/>
    </w:rPr>
  </w:style>
  <w:style w:type="paragraph" w:styleId="Listenabsatz">
    <w:name w:val="List Paragraph"/>
    <w:basedOn w:val="Standard"/>
    <w:uiPriority w:val="34"/>
    <w:qFormat/>
    <w:rsid w:val="0098374F"/>
    <w:pPr>
      <w:ind w:left="720"/>
      <w:contextualSpacing/>
    </w:pPr>
  </w:style>
  <w:style w:type="table" w:styleId="Tabellenraster">
    <w:name w:val="Table Grid"/>
    <w:basedOn w:val="NormaleTabelle"/>
    <w:uiPriority w:val="59"/>
    <w:rsid w:val="0098374F"/>
    <w:pPr>
      <w:spacing w:after="0" w:line="240" w:lineRule="auto"/>
    </w:pPr>
    <w:rPr>
      <w:rFonts w:ascii="Calibri" w:eastAsia="Calibri" w:hAnsi="Calibri"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8374F"/>
    <w:rPr>
      <w:color w:val="0563C1" w:themeColor="hyperlink"/>
      <w:u w:val="single"/>
    </w:rPr>
  </w:style>
  <w:style w:type="character" w:styleId="NichtaufgelsteErwhnung">
    <w:name w:val="Unresolved Mention"/>
    <w:basedOn w:val="Absatz-Standardschriftart"/>
    <w:uiPriority w:val="99"/>
    <w:semiHidden/>
    <w:unhideWhenUsed/>
    <w:rsid w:val="0098374F"/>
    <w:rPr>
      <w:color w:val="605E5C"/>
      <w:shd w:val="clear" w:color="auto" w:fill="E1DFDD"/>
    </w:rPr>
  </w:style>
  <w:style w:type="paragraph" w:styleId="KeinLeerraum">
    <w:name w:val="No Spacing"/>
    <w:uiPriority w:val="1"/>
    <w:qFormat/>
    <w:rsid w:val="009C28F2"/>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072267">
      <w:bodyDiv w:val="1"/>
      <w:marLeft w:val="0"/>
      <w:marRight w:val="0"/>
      <w:marTop w:val="0"/>
      <w:marBottom w:val="0"/>
      <w:divBdr>
        <w:top w:val="none" w:sz="0" w:space="0" w:color="auto"/>
        <w:left w:val="none" w:sz="0" w:space="0" w:color="auto"/>
        <w:bottom w:val="none" w:sz="0" w:space="0" w:color="auto"/>
        <w:right w:val="none" w:sz="0" w:space="0" w:color="auto"/>
      </w:divBdr>
    </w:div>
    <w:div w:id="1790929065">
      <w:bodyDiv w:val="1"/>
      <w:marLeft w:val="0"/>
      <w:marRight w:val="0"/>
      <w:marTop w:val="0"/>
      <w:marBottom w:val="0"/>
      <w:divBdr>
        <w:top w:val="none" w:sz="0" w:space="0" w:color="auto"/>
        <w:left w:val="none" w:sz="0" w:space="0" w:color="auto"/>
        <w:bottom w:val="none" w:sz="0" w:space="0" w:color="auto"/>
        <w:right w:val="none" w:sz="0" w:space="0" w:color="auto"/>
      </w:divBdr>
    </w:div>
    <w:div w:id="1903129343">
      <w:bodyDiv w:val="1"/>
      <w:marLeft w:val="0"/>
      <w:marRight w:val="0"/>
      <w:marTop w:val="0"/>
      <w:marBottom w:val="0"/>
      <w:divBdr>
        <w:top w:val="none" w:sz="0" w:space="0" w:color="auto"/>
        <w:left w:val="none" w:sz="0" w:space="0" w:color="auto"/>
        <w:bottom w:val="none" w:sz="0" w:space="0" w:color="auto"/>
        <w:right w:val="none" w:sz="0" w:space="0" w:color="auto"/>
      </w:divBdr>
    </w:div>
    <w:div w:id="19522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ststelle@seminar-os-so.niedersachsen.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Hildegard Käter</dc:creator>
  <cp:keywords/>
  <dc:description/>
  <cp:lastModifiedBy>Hildegard Käter</cp:lastModifiedBy>
  <cp:revision>11</cp:revision>
  <dcterms:created xsi:type="dcterms:W3CDTF">2019-11-17T16:03:00Z</dcterms:created>
  <dcterms:modified xsi:type="dcterms:W3CDTF">2020-01-21T10:27:00Z</dcterms:modified>
</cp:coreProperties>
</file>